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6CBC04EC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</w:t>
      </w:r>
      <w:r w:rsidR="00F97254">
        <w:t xml:space="preserve"> DRAKE’S Church of England Primary School</w:t>
      </w:r>
      <w:r w:rsidR="00965AF8">
        <w:t>, Link Academy Trust</w:t>
      </w:r>
    </w:p>
    <w:p w14:paraId="77015CC2" w14:textId="77777777" w:rsidR="005E18CB" w:rsidRDefault="005E18CB" w:rsidP="00C62989"/>
    <w:p w14:paraId="16B48015" w14:textId="512767BD" w:rsidR="00E66558" w:rsidRDefault="009D71E8" w:rsidP="00C62989">
      <w:pPr>
        <w:rPr>
          <w:b/>
        </w:rPr>
      </w:pPr>
      <w:r>
        <w:t xml:space="preserve">This statement details our </w:t>
      </w:r>
      <w:r w:rsidR="00985A54">
        <w:t>Trust and S</w:t>
      </w:r>
      <w:r>
        <w:t xml:space="preserve">chool’s use of </w:t>
      </w:r>
      <w:r w:rsidR="00751031">
        <w:t>P</w:t>
      </w:r>
      <w:r>
        <w:t xml:space="preserve">upil </w:t>
      </w:r>
      <w:r w:rsidR="00751031">
        <w:t>P</w:t>
      </w:r>
      <w:r>
        <w:t xml:space="preserve">remium funding to help improve the attainment of our disadvantaged pupils. </w:t>
      </w:r>
    </w:p>
    <w:p w14:paraId="2A7D54B3" w14:textId="7D10C317" w:rsidR="00E66558" w:rsidRDefault="009D71E8" w:rsidP="00C62989">
      <w:pPr>
        <w:rPr>
          <w:b/>
        </w:rPr>
      </w:pPr>
      <w:r>
        <w:t xml:space="preserve">It outlines </w:t>
      </w:r>
      <w:r w:rsidR="00B24F04">
        <w:t xml:space="preserve">the Trust’s </w:t>
      </w:r>
      <w:r w:rsidR="00751031">
        <w:t>P</w:t>
      </w:r>
      <w:r>
        <w:t xml:space="preserve">upil </w:t>
      </w:r>
      <w:r w:rsidR="00751031">
        <w:t>P</w:t>
      </w:r>
      <w:r>
        <w:t xml:space="preserve">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DBC74E8" w14:textId="6CA86733" w:rsidR="00E76FAA" w:rsidRDefault="00E76FAA" w:rsidP="00E76FAA">
      <w:pPr>
        <w:pStyle w:val="Heading2"/>
      </w:pPr>
      <w:r>
        <w:t>Trust overview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5096"/>
      </w:tblGrid>
      <w:tr w:rsidR="00E76FAA" w14:paraId="1E06842D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AD97" w14:textId="77777777" w:rsidR="00E76FAA" w:rsidRDefault="00E76FAA" w:rsidP="00EE744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545F" w14:textId="77777777" w:rsidR="00E76FAA" w:rsidRDefault="00E76FAA" w:rsidP="00EE7448">
            <w:pPr>
              <w:pStyle w:val="TableHeader"/>
              <w:jc w:val="left"/>
            </w:pPr>
            <w:r>
              <w:t>Data</w:t>
            </w:r>
          </w:p>
        </w:tc>
      </w:tr>
      <w:tr w:rsidR="00E76FAA" w14:paraId="34D5D36A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66A5" w14:textId="371AAD02" w:rsidR="00E76FAA" w:rsidRPr="00E76FAA" w:rsidRDefault="00E76FAA" w:rsidP="00EE7448">
            <w:pPr>
              <w:pStyle w:val="TableRow"/>
            </w:pPr>
            <w:r w:rsidRPr="00E76FAA">
              <w:t>Trust Name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BFE7" w14:textId="0A1F5D82" w:rsidR="00E76FAA" w:rsidRDefault="00E76FAA" w:rsidP="00EE7448">
            <w:pPr>
              <w:pStyle w:val="TableRow"/>
            </w:pPr>
            <w:r>
              <w:t>Link Academy Trust</w:t>
            </w:r>
          </w:p>
        </w:tc>
      </w:tr>
      <w:tr w:rsidR="00E76FAA" w14:paraId="5AB06A82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5983" w14:textId="0C5497A7" w:rsidR="00E76FAA" w:rsidRPr="00E76FAA" w:rsidRDefault="00E76FAA" w:rsidP="00EE7448">
            <w:pPr>
              <w:pStyle w:val="TableRow"/>
            </w:pPr>
            <w:r w:rsidRPr="00E76FAA">
              <w:t>Schools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ED51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Bearnes</w:t>
            </w:r>
          </w:p>
          <w:p w14:paraId="2E834BF7" w14:textId="60798806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Branscombe</w:t>
            </w:r>
          </w:p>
          <w:p w14:paraId="49ADCC56" w14:textId="3A858B49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Broadhembury</w:t>
            </w:r>
          </w:p>
          <w:p w14:paraId="0680C0A5" w14:textId="1237AA8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Broadhempston</w:t>
            </w:r>
          </w:p>
          <w:p w14:paraId="4F9D0AC7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Cheriton Bishop</w:t>
            </w:r>
          </w:p>
          <w:p w14:paraId="56B35002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Diptford</w:t>
            </w:r>
          </w:p>
          <w:p w14:paraId="381133CB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Drakes</w:t>
            </w:r>
          </w:p>
          <w:p w14:paraId="35A71193" w14:textId="3A649E2A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Farway</w:t>
            </w:r>
          </w:p>
          <w:p w14:paraId="06FCCF23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Harbertonford</w:t>
            </w:r>
          </w:p>
          <w:p w14:paraId="2BA323C5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Hennock</w:t>
            </w:r>
          </w:p>
          <w:p w14:paraId="2C9FFCEE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Ilsington</w:t>
            </w:r>
          </w:p>
          <w:p w14:paraId="10B7116D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Landscove</w:t>
            </w:r>
          </w:p>
          <w:p w14:paraId="5A2449B4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Littleham</w:t>
            </w:r>
          </w:p>
          <w:p w14:paraId="3D2C66B1" w14:textId="39FCDE9D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Morchard Bishop</w:t>
            </w:r>
          </w:p>
          <w:p w14:paraId="6B6C6825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Moretonhampstead</w:t>
            </w:r>
          </w:p>
          <w:p w14:paraId="38E43719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Otterton</w:t>
            </w:r>
          </w:p>
          <w:p w14:paraId="262283E3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Sparkwell</w:t>
            </w:r>
          </w:p>
          <w:p w14:paraId="152A7216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Stoke Gabriel</w:t>
            </w:r>
          </w:p>
          <w:p w14:paraId="18676892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Tedburn St Mary</w:t>
            </w:r>
          </w:p>
          <w:p w14:paraId="522373D1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Widecombe in the Moor</w:t>
            </w:r>
          </w:p>
          <w:p w14:paraId="351EFD68" w14:textId="77777777" w:rsid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Wolborough</w:t>
            </w:r>
          </w:p>
          <w:p w14:paraId="6E5C8B93" w14:textId="289317D9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Woodbury Salterton</w:t>
            </w:r>
          </w:p>
          <w:p w14:paraId="36B1B66E" w14:textId="00EC4884" w:rsidR="00E76FAA" w:rsidRDefault="00E76FAA" w:rsidP="00E76FAA">
            <w:pPr>
              <w:pStyle w:val="TableRow"/>
            </w:pPr>
            <w:r w:rsidRPr="00E76FAA">
              <w:rPr>
                <w:sz w:val="22"/>
                <w:szCs w:val="22"/>
              </w:rPr>
              <w:t>Yeoford</w:t>
            </w:r>
          </w:p>
        </w:tc>
      </w:tr>
      <w:tr w:rsidR="00E76FAA" w14:paraId="6F5B880F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5233" w14:textId="17B75A7F" w:rsidR="00E76FAA" w:rsidRPr="00E76FAA" w:rsidRDefault="00E76FAA" w:rsidP="00EE7448">
            <w:pPr>
              <w:pStyle w:val="TableRow"/>
            </w:pPr>
            <w:r>
              <w:t xml:space="preserve">Number of pupils in the Trust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4CDE" w14:textId="639EEA37" w:rsidR="00E76FAA" w:rsidRPr="00E76FAA" w:rsidRDefault="00696EF0" w:rsidP="00E76F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491A">
              <w:rPr>
                <w:sz w:val="22"/>
                <w:szCs w:val="22"/>
              </w:rPr>
              <w:t>728</w:t>
            </w:r>
          </w:p>
        </w:tc>
      </w:tr>
      <w:tr w:rsidR="00E76FAA" w14:paraId="13F15D85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62D3" w14:textId="5EA33D4B" w:rsidR="00E76FAA" w:rsidRPr="00E76FAA" w:rsidRDefault="00E76FAA" w:rsidP="00EE7448">
            <w:pPr>
              <w:pStyle w:val="TableRow"/>
            </w:pPr>
            <w:r w:rsidRPr="00E76FAA">
              <w:t>Proportion (%) of pupil premium eligible pupils in the Trust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67BD" w14:textId="717509DF" w:rsidR="00E76FAA" w:rsidRDefault="00BB491A" w:rsidP="00EE7448">
            <w:pPr>
              <w:pStyle w:val="TableRow"/>
            </w:pPr>
            <w:r>
              <w:t>17.53</w:t>
            </w:r>
            <w:r w:rsidR="00696EF0">
              <w:t>% (Sept 2</w:t>
            </w:r>
            <w:r>
              <w:t>5</w:t>
            </w:r>
            <w:r w:rsidR="00E63B48">
              <w:t>, an increase of 2.5% from the previous year</w:t>
            </w:r>
            <w:r w:rsidR="00696EF0">
              <w:t>)</w:t>
            </w:r>
          </w:p>
          <w:p w14:paraId="7E07FFE8" w14:textId="56B0EF4A" w:rsidR="00B370CB" w:rsidRPr="00B370CB" w:rsidRDefault="00B370CB" w:rsidP="19B3B174">
            <w:pPr>
              <w:pStyle w:val="TableRow"/>
              <w:ind w:left="0"/>
              <w:rPr>
                <w:i/>
                <w:iCs/>
                <w:highlight w:val="green"/>
              </w:rPr>
            </w:pPr>
          </w:p>
        </w:tc>
      </w:tr>
      <w:tr w:rsidR="00E76FAA" w14:paraId="374B760E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82EC" w14:textId="1BE32B35" w:rsidR="00E76FAA" w:rsidRPr="00965AF8" w:rsidRDefault="00E76FAA" w:rsidP="00EE7448">
            <w:pPr>
              <w:pStyle w:val="TableRow"/>
              <w:rPr>
                <w:highlight w:val="green"/>
              </w:rPr>
            </w:pPr>
            <w:r w:rsidRPr="00E76FAA">
              <w:t xml:space="preserve">Academic year/years that our current pupil premium strategy plan covers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55C7" w14:textId="13727512" w:rsidR="00E76FAA" w:rsidRDefault="00E76FAA" w:rsidP="00EE7448">
            <w:pPr>
              <w:pStyle w:val="TableRow"/>
            </w:pPr>
            <w:r>
              <w:t>202</w:t>
            </w:r>
            <w:r w:rsidR="00BB491A">
              <w:t>5</w:t>
            </w:r>
            <w:r>
              <w:t>-202</w:t>
            </w:r>
            <w:r w:rsidR="00BB491A">
              <w:t>6</w:t>
            </w:r>
          </w:p>
        </w:tc>
      </w:tr>
      <w:tr w:rsidR="00E76FAA" w14:paraId="641F0ECF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CADB" w14:textId="77777777" w:rsidR="00E76FAA" w:rsidRDefault="00E76FAA" w:rsidP="00B370CB">
            <w:pPr>
              <w:pStyle w:val="TableRow"/>
              <w:ind w:left="0"/>
            </w:pPr>
            <w:r>
              <w:rPr>
                <w:szCs w:val="22"/>
              </w:rPr>
              <w:lastRenderedPageBreak/>
              <w:t>Date this statement was published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103F" w14:textId="63D7D3EE" w:rsidR="00E76FAA" w:rsidRDefault="00BB491A" w:rsidP="00BB491A">
            <w:pPr>
              <w:pStyle w:val="TableRow"/>
              <w:ind w:left="0"/>
            </w:pPr>
            <w:r>
              <w:t>30</w:t>
            </w:r>
            <w:r w:rsidR="00E76FAA">
              <w:t>.1</w:t>
            </w:r>
            <w:r>
              <w:t>1</w:t>
            </w:r>
            <w:r w:rsidR="00E76FAA">
              <w:t>.</w:t>
            </w:r>
            <w:r w:rsidR="00444499">
              <w:t>20</w:t>
            </w:r>
            <w:r w:rsidR="00E76FAA">
              <w:t>2</w:t>
            </w:r>
            <w:r>
              <w:t>5</w:t>
            </w:r>
          </w:p>
        </w:tc>
      </w:tr>
      <w:tr w:rsidR="00E76FAA" w14:paraId="4A9240FE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17CF" w14:textId="77777777" w:rsidR="00E76FAA" w:rsidRDefault="00E76FAA" w:rsidP="00444499">
            <w:pPr>
              <w:pStyle w:val="TableRow"/>
              <w:ind w:lef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164B" w14:textId="5FC05C76" w:rsidR="00E76FAA" w:rsidRDefault="00BB491A" w:rsidP="00444499">
            <w:pPr>
              <w:pStyle w:val="TableRow"/>
              <w:ind w:left="0"/>
            </w:pPr>
            <w:r>
              <w:t>29</w:t>
            </w:r>
            <w:r w:rsidR="00444499">
              <w:t>.11</w:t>
            </w:r>
            <w:r w:rsidR="00E76FAA">
              <w:t>.</w:t>
            </w:r>
            <w:r w:rsidR="00444499">
              <w:t>20</w:t>
            </w:r>
            <w:r w:rsidR="00E76FAA">
              <w:t>2</w:t>
            </w:r>
            <w:r>
              <w:t>6</w:t>
            </w:r>
          </w:p>
        </w:tc>
      </w:tr>
      <w:tr w:rsidR="00E76FAA" w14:paraId="4F98D5BE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32F4" w14:textId="77777777" w:rsidR="00E76FAA" w:rsidRDefault="00E76FAA" w:rsidP="00444499">
            <w:pPr>
              <w:pStyle w:val="TableRow"/>
              <w:ind w:left="0"/>
            </w:pPr>
            <w:r>
              <w:t>Statement authorised by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0F62" w14:textId="61B7C2FE" w:rsidR="0E3EE954" w:rsidRDefault="00BB491A" w:rsidP="39078906">
            <w:pPr>
              <w:pStyle w:val="TableRow"/>
            </w:pPr>
            <w:r>
              <w:t>Rachael Sharpe</w:t>
            </w:r>
            <w:r w:rsidR="0E3EE954">
              <w:t xml:space="preserve">, </w:t>
            </w:r>
            <w:r w:rsidR="00E03418">
              <w:t xml:space="preserve">Link </w:t>
            </w:r>
            <w:r w:rsidR="0E3EE954">
              <w:t>CEO</w:t>
            </w:r>
          </w:p>
          <w:p w14:paraId="52B39CF2" w14:textId="2F8A18D9" w:rsidR="00E76FAA" w:rsidRDefault="00E76FAA" w:rsidP="00EE7448">
            <w:pPr>
              <w:pStyle w:val="TableRow"/>
            </w:pPr>
            <w:r>
              <w:t>F</w:t>
            </w:r>
            <w:r w:rsidR="00525A84">
              <w:t xml:space="preserve">rancesca </w:t>
            </w:r>
            <w:r>
              <w:t>McLoughlin, Director of Inclusion</w:t>
            </w:r>
          </w:p>
        </w:tc>
      </w:tr>
      <w:tr w:rsidR="00E76FAA" w14:paraId="278D14D0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E18" w14:textId="2E5AB159" w:rsidR="00E76FAA" w:rsidRDefault="00E76FAA" w:rsidP="00444499">
            <w:pPr>
              <w:pStyle w:val="TableRow"/>
              <w:ind w:left="0"/>
            </w:pPr>
            <w:r>
              <w:t>Pupil premium lead</w:t>
            </w:r>
            <w:r w:rsidR="00B370CB">
              <w:t xml:space="preserve"> for the Trust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A0EA" w14:textId="0FC28D09" w:rsidR="00E76FAA" w:rsidRPr="00965AF8" w:rsidRDefault="00444499" w:rsidP="00EE7448">
            <w:pPr>
              <w:pStyle w:val="TableRow"/>
              <w:rPr>
                <w:highlight w:val="green"/>
              </w:rPr>
            </w:pPr>
            <w:r>
              <w:t>F</w:t>
            </w:r>
            <w:r w:rsidR="00525A84">
              <w:t>rancesca</w:t>
            </w:r>
            <w:r>
              <w:t xml:space="preserve"> McLoughlin</w:t>
            </w:r>
          </w:p>
        </w:tc>
      </w:tr>
      <w:tr w:rsidR="00E76FAA" w14:paraId="1FE8A4CF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474D" w14:textId="037153AA" w:rsidR="00E76FAA" w:rsidRDefault="00E76FAA" w:rsidP="00444499">
            <w:pPr>
              <w:pStyle w:val="TableRow"/>
              <w:ind w:left="0"/>
            </w:pPr>
            <w:r>
              <w:rPr>
                <w:szCs w:val="22"/>
              </w:rPr>
              <w:t xml:space="preserve">Trustee </w:t>
            </w:r>
            <w:r>
              <w:t>lead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49B7" w14:textId="35D661DD" w:rsidR="00E76FAA" w:rsidRPr="00965AF8" w:rsidRDefault="00525A84" w:rsidP="00EE7448">
            <w:pPr>
              <w:pStyle w:val="TableRow"/>
              <w:rPr>
                <w:highlight w:val="green"/>
              </w:rPr>
            </w:pPr>
            <w:r w:rsidRPr="00525A84">
              <w:t>Christine Cottle</w:t>
            </w:r>
          </w:p>
        </w:tc>
      </w:tr>
      <w:tr w:rsidR="00BB491A" w14:paraId="535C5505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1567" w14:textId="54F6F468" w:rsidR="00BB491A" w:rsidRDefault="00BB491A" w:rsidP="00BB491A">
            <w:pPr>
              <w:pStyle w:val="TableRow"/>
              <w:ind w:left="0"/>
              <w:rPr>
                <w:szCs w:val="22"/>
              </w:rPr>
            </w:pPr>
            <w:r>
              <w:t>Academy Pupil premium lead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B429" w14:textId="1FC269C2" w:rsidR="00BB491A" w:rsidRPr="00525A84" w:rsidRDefault="0011423B" w:rsidP="00BB491A">
            <w:pPr>
              <w:pStyle w:val="TableRow"/>
            </w:pPr>
            <w:r w:rsidRPr="0011423B">
              <w:t>Peter Halford</w:t>
            </w:r>
            <w:r w:rsidR="00BB491A" w:rsidRPr="0011423B">
              <w:t xml:space="preserve"> </w:t>
            </w:r>
          </w:p>
        </w:tc>
      </w:tr>
    </w:tbl>
    <w:p w14:paraId="2A7D54B4" w14:textId="30A9BC5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246"/>
      </w:tblGrid>
      <w:tr w:rsidR="00E66558" w14:paraId="2A7D54B7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46D4AE63" w:rsidR="002940F3" w:rsidRPr="00444499" w:rsidRDefault="002940F3">
            <w:pPr>
              <w:pStyle w:val="TableRow"/>
              <w:rPr>
                <w:highlight w:val="yellow"/>
              </w:rPr>
            </w:pPr>
            <w:r w:rsidRPr="004916EA">
              <w:t xml:space="preserve">Number of pupils in school </w:t>
            </w:r>
            <w:r w:rsidR="00E03418" w:rsidRPr="004916EA">
              <w:t>(put nurse</w:t>
            </w:r>
            <w:r w:rsidR="00E63B48" w:rsidRPr="004916EA">
              <w:t xml:space="preserve">ry </w:t>
            </w:r>
            <w:r w:rsidR="00E03418" w:rsidRPr="004916EA">
              <w:t>figures separately)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85BA" w14:textId="77777777" w:rsidR="002940F3" w:rsidRDefault="0011423B">
            <w:pPr>
              <w:pStyle w:val="TableRow"/>
            </w:pPr>
            <w:r>
              <w:t>31 pupils on roll</w:t>
            </w:r>
          </w:p>
          <w:p w14:paraId="2A7D54B9" w14:textId="4CBB9C0E" w:rsidR="0011423B" w:rsidRDefault="0011423B">
            <w:pPr>
              <w:pStyle w:val="TableRow"/>
            </w:pPr>
            <w:r>
              <w:t>3 in pre school</w:t>
            </w:r>
          </w:p>
        </w:tc>
      </w:tr>
      <w:tr w:rsidR="002940F3" w14:paraId="2A7D54BD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6E0DE1B8" w:rsidR="002940F3" w:rsidRPr="00444499" w:rsidRDefault="002940F3">
            <w:pPr>
              <w:pStyle w:val="TableRow"/>
              <w:rPr>
                <w:highlight w:val="yellow"/>
              </w:rPr>
            </w:pPr>
            <w:r w:rsidRPr="004916EA">
              <w:t>Proportion (%) of pupil premium eligible pupils</w:t>
            </w:r>
            <w:r w:rsidR="00E03418" w:rsidRPr="004916EA">
              <w:t xml:space="preserve"> (not including nursery)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2CBC6C4A" w:rsidR="002940F3" w:rsidRDefault="001A70B5">
            <w:pPr>
              <w:pStyle w:val="TableRow"/>
            </w:pPr>
            <w:r>
              <w:t>39%</w:t>
            </w:r>
          </w:p>
        </w:tc>
      </w:tr>
      <w:tr w:rsidR="005E1EFB" w14:paraId="6F0B45EE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5DD9" w14:textId="0FDB3759" w:rsidR="005E1EFB" w:rsidRPr="00444499" w:rsidRDefault="005E1EFB">
            <w:pPr>
              <w:pStyle w:val="TableRow"/>
              <w:rPr>
                <w:highlight w:val="yellow"/>
              </w:rPr>
            </w:pPr>
            <w:r w:rsidRPr="00D049D1">
              <w:t>Context of our school</w:t>
            </w:r>
            <w:r w:rsidR="0012014F" w:rsidRPr="00D049D1"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37D7" w14:textId="1ACF97AB" w:rsidR="005E1EFB" w:rsidRDefault="001E393D">
            <w:pPr>
              <w:pStyle w:val="TableRow"/>
              <w:rPr>
                <w:i/>
                <w:iCs/>
              </w:rPr>
            </w:pPr>
            <w:proofErr w:type="gramStart"/>
            <w:r w:rsidRPr="001E393D">
              <w:rPr>
                <w:i/>
                <w:iCs/>
              </w:rPr>
              <w:t>Drakes</w:t>
            </w:r>
            <w:proofErr w:type="gramEnd"/>
            <w:r w:rsidRPr="001E393D">
              <w:rPr>
                <w:i/>
                <w:iCs/>
              </w:rPr>
              <w:t xml:space="preserve"> primary school is a small village to class school. There are 31 p</w:t>
            </w:r>
            <w:r w:rsidR="00FD4EDF">
              <w:rPr>
                <w:i/>
                <w:iCs/>
              </w:rPr>
              <w:t>upil</w:t>
            </w:r>
            <w:r w:rsidRPr="001E393D">
              <w:rPr>
                <w:i/>
                <w:iCs/>
              </w:rPr>
              <w:t>s on roll with 38% of those in receipt of</w:t>
            </w:r>
            <w:r w:rsidR="00BE126E" w:rsidRPr="00BE126E">
              <w:rPr>
                <w:i/>
                <w:iCs/>
              </w:rPr>
              <w:t xml:space="preserve"> people premium funding</w:t>
            </w:r>
            <w:r w:rsidR="00BE126E">
              <w:rPr>
                <w:i/>
                <w:iCs/>
              </w:rPr>
              <w:t xml:space="preserve">. </w:t>
            </w:r>
            <w:r w:rsidR="00BE126E" w:rsidRPr="00BE126E">
              <w:rPr>
                <w:i/>
                <w:iCs/>
              </w:rPr>
              <w:t>There are two classes in the school with a preschool as part of the school</w:t>
            </w:r>
            <w:r w:rsidR="00F03BB1" w:rsidRPr="00F03BB1">
              <w:rPr>
                <w:i/>
                <w:iCs/>
              </w:rPr>
              <w:t xml:space="preserve"> open five days a week.</w:t>
            </w:r>
          </w:p>
          <w:p w14:paraId="2C024B30" w14:textId="496BE348" w:rsidR="00F03BB1" w:rsidRPr="005E1EFB" w:rsidRDefault="0062723B">
            <w:pPr>
              <w:pStyle w:val="TableRow"/>
              <w:rPr>
                <w:i/>
                <w:iCs/>
              </w:rPr>
            </w:pPr>
            <w:r w:rsidRPr="0062723B">
              <w:rPr>
                <w:i/>
                <w:iCs/>
              </w:rPr>
              <w:t>The children will attend school come from the village and surrounding town</w:t>
            </w:r>
            <w:r>
              <w:rPr>
                <w:i/>
                <w:iCs/>
              </w:rPr>
              <w:t>s.</w:t>
            </w:r>
          </w:p>
        </w:tc>
      </w:tr>
      <w:bookmarkEnd w:id="2"/>
      <w:bookmarkEnd w:id="3"/>
      <w:bookmarkEnd w:id="4"/>
    </w:tbl>
    <w:p w14:paraId="25A9018E" w14:textId="77777777" w:rsidR="009710F9" w:rsidRPr="009710F9" w:rsidRDefault="009710F9" w:rsidP="009710F9"/>
    <w:p w14:paraId="2A7D54D3" w14:textId="06EFCE69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3537"/>
      </w:tblGrid>
      <w:tr w:rsidR="00E66558" w14:paraId="2A7D54D6" w14:textId="77777777" w:rsidTr="39078906">
        <w:trPr>
          <w:trHeight w:val="374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39078906">
        <w:trPr>
          <w:trHeight w:val="374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491506BD" w:rsidR="00E66558" w:rsidRDefault="00444499">
            <w:pPr>
              <w:pStyle w:val="TableRow"/>
            </w:pPr>
            <w:r>
              <w:t xml:space="preserve">Trust </w:t>
            </w:r>
            <w:r w:rsidR="00CB53CB">
              <w:t xml:space="preserve">total </w:t>
            </w:r>
            <w:r w:rsidR="009D71E8">
              <w:t>Pupil premium funding allocation this academic year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478F1879" w:rsidR="00E66558" w:rsidRDefault="009D71E8">
            <w:pPr>
              <w:pStyle w:val="TableRow"/>
            </w:pPr>
            <w:r w:rsidRPr="007D4AF6">
              <w:t>£</w:t>
            </w:r>
            <w:r w:rsidR="00BB491A">
              <w:t>471,165</w:t>
            </w:r>
          </w:p>
        </w:tc>
      </w:tr>
      <w:tr w:rsidR="00E66558" w14:paraId="2A7D54DF" w14:textId="77777777" w:rsidTr="39078906">
        <w:trPr>
          <w:trHeight w:val="374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59F0F687" w:rsidR="007109F6" w:rsidRPr="005F16B6" w:rsidRDefault="009D71E8" w:rsidP="005F16B6">
            <w:pPr>
              <w:pStyle w:val="TableRow"/>
              <w:spacing w:after="12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1EC4C9D2" w:rsidR="00E66558" w:rsidRDefault="009D71E8">
            <w:pPr>
              <w:pStyle w:val="TableRow"/>
            </w:pPr>
            <w:r>
              <w:t>£</w:t>
            </w:r>
            <w:r w:rsidR="00965AF8">
              <w:t>0</w:t>
            </w:r>
          </w:p>
        </w:tc>
      </w:tr>
      <w:tr w:rsidR="00E66558" w14:paraId="2A7D54E3" w14:textId="77777777" w:rsidTr="39078906"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0E1DC32C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 xml:space="preserve">Total </w:t>
            </w:r>
            <w:r w:rsidR="00CB53CB">
              <w:rPr>
                <w:b/>
              </w:rPr>
              <w:t xml:space="preserve">Trust </w:t>
            </w:r>
            <w:r>
              <w:rPr>
                <w:b/>
              </w:rPr>
              <w:t>budget for this academic year</w:t>
            </w:r>
          </w:p>
          <w:p w14:paraId="2A7D54E1" w14:textId="1CF6DADB" w:rsidR="00E66558" w:rsidRPr="003C4388" w:rsidRDefault="00CB53CB">
            <w:pPr>
              <w:pStyle w:val="TableRow"/>
              <w:rPr>
                <w:i/>
                <w:iCs/>
              </w:rPr>
            </w:pPr>
            <w:r>
              <w:rPr>
                <w:i/>
                <w:iCs/>
              </w:rPr>
              <w:t>Funding is pooled is our Trust with an amount given to individual schools based on number of children in receipt of PPG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B37E" w14:textId="7EEB6F6A" w:rsidR="00E66558" w:rsidRDefault="009D71E8">
            <w:pPr>
              <w:pStyle w:val="TableRow"/>
            </w:pPr>
            <w:r>
              <w:t>£</w:t>
            </w:r>
            <w:r w:rsidR="00BB491A">
              <w:t>471,165</w:t>
            </w:r>
          </w:p>
          <w:p w14:paraId="2A7D54E2" w14:textId="55008DFA" w:rsidR="00965AF8" w:rsidRDefault="00965AF8">
            <w:pPr>
              <w:pStyle w:val="TableRow"/>
            </w:pPr>
          </w:p>
        </w:tc>
      </w:tr>
      <w:tr w:rsidR="00CB53CB" w14:paraId="54D75B8F" w14:textId="77777777" w:rsidTr="39078906"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DC95" w14:textId="6EE0BB32" w:rsidR="00CB53CB" w:rsidRDefault="00CB53CB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Amount of funding available to the school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38D7" w14:textId="4DA7A684" w:rsidR="00CB53CB" w:rsidRPr="00965AF8" w:rsidRDefault="00CB53CB">
            <w:pPr>
              <w:pStyle w:val="TableRow"/>
              <w:rPr>
                <w:highlight w:val="green"/>
              </w:rPr>
            </w:pPr>
            <w:r w:rsidRPr="008E4E2B">
              <w:t>£</w:t>
            </w:r>
            <w:r w:rsidR="00183F5A">
              <w:t>4800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Pr="00D438B7" w:rsidRDefault="009D71E8">
      <w:pPr>
        <w:pStyle w:val="Heading2"/>
        <w:rPr>
          <w:b w:val="0"/>
          <w:bCs/>
        </w:rPr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E836" w14:textId="4CE244D1" w:rsidR="00B24F04" w:rsidRDefault="00D438B7" w:rsidP="00D438B7">
            <w:r w:rsidRPr="009710F9">
              <w:t xml:space="preserve">Link Academy Trust is </w:t>
            </w:r>
            <w:r w:rsidR="00CB53CB" w:rsidRPr="009710F9">
              <w:t>a multi-academy Trust of 2</w:t>
            </w:r>
            <w:r w:rsidR="009D046A">
              <w:t>3</w:t>
            </w:r>
            <w:r w:rsidR="00CB53CB" w:rsidRPr="009710F9">
              <w:t xml:space="preserve"> small primary schools across Devon, from the South Hams to East Devon. We pool budgets and resources and provide opportunities to all children within the Trust</w:t>
            </w:r>
            <w:r w:rsidR="0012014F" w:rsidRPr="009710F9">
              <w:t>; we want our disadvantaged children to flourish in every aspect of school</w:t>
            </w:r>
            <w:r w:rsidR="00B24F04">
              <w:t xml:space="preserve"> and to be prepared for the next stage of their education</w:t>
            </w:r>
            <w:r w:rsidR="0012014F" w:rsidRPr="009710F9">
              <w:t xml:space="preserve">. </w:t>
            </w:r>
            <w:r w:rsidR="00DF6CCE">
              <w:t xml:space="preserve">We strongly believe that disadvantage is an economic label, not a decider of academic ability. </w:t>
            </w:r>
            <w:r w:rsidR="0012014F" w:rsidRPr="009710F9">
              <w:t>The number of children in receipt of the PPG varies widely</w:t>
            </w:r>
            <w:r w:rsidR="00DF6CCE">
              <w:t xml:space="preserve"> in our schools</w:t>
            </w:r>
            <w:r w:rsidR="0012014F" w:rsidRPr="009710F9">
              <w:t xml:space="preserve"> across the Trust and the CEO and Deputy CEO have developed a scale that determines the amount each individual Academy will receive</w:t>
            </w:r>
            <w:r w:rsidR="00DF6CCE">
              <w:t xml:space="preserve"> to spend in their own school</w:t>
            </w:r>
            <w:r w:rsidR="0012014F" w:rsidRPr="009710F9">
              <w:t xml:space="preserve">. </w:t>
            </w:r>
            <w:r w:rsidR="00831410">
              <w:t>The responsibility of over-seeing the support, attainment and engagement of children receiving the additional funding is a shared one amongst the Directors of the Trust</w:t>
            </w:r>
            <w:r w:rsidR="007D5BCB">
              <w:t>, and particularly</w:t>
            </w:r>
            <w:r w:rsidR="00831410">
              <w:t xml:space="preserve"> the Director of Inclusion, working closely with the Inclusion and Improvement Hub (IIH) who lead on inclusion in our Academies.</w:t>
            </w:r>
          </w:p>
          <w:p w14:paraId="16815D69" w14:textId="1F6F2F36" w:rsidR="0012014F" w:rsidRDefault="005529D1" w:rsidP="00D438B7">
            <w:r>
              <w:t xml:space="preserve">We make use of the EEF’s tiered approach to PP spending to help ensure we are making the best use of these resources. </w:t>
            </w:r>
          </w:p>
          <w:p w14:paraId="50067CF5" w14:textId="7A48DB1A" w:rsidR="00B24F04" w:rsidRPr="009710F9" w:rsidRDefault="00B24F04" w:rsidP="00B24F0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0A7997" wp14:editId="4879BE8B">
                  <wp:extent cx="3919284" cy="5546265"/>
                  <wp:effectExtent l="0" t="635" r="4445" b="4445"/>
                  <wp:docPr id="1633342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342829" name="Picture 163334282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936713" cy="557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A4626D" w14:textId="02F620AE" w:rsidR="00CB53CB" w:rsidRPr="009710F9" w:rsidRDefault="0012014F" w:rsidP="00D438B7">
            <w:r w:rsidRPr="009710F9">
              <w:t>T</w:t>
            </w:r>
            <w:r w:rsidR="00CB53CB" w:rsidRPr="009710F9">
              <w:t>his Trust-wide plan</w:t>
            </w:r>
            <w:r w:rsidRPr="009710F9">
              <w:t xml:space="preserve"> is written</w:t>
            </w:r>
            <w:r w:rsidR="00CB53CB" w:rsidRPr="009710F9">
              <w:t xml:space="preserve"> to ensure </w:t>
            </w:r>
            <w:r w:rsidR="009710F9" w:rsidRPr="009710F9">
              <w:t xml:space="preserve">that </w:t>
            </w:r>
            <w:r w:rsidR="00CB53CB" w:rsidRPr="009710F9">
              <w:t xml:space="preserve">our initiatives reach </w:t>
            </w:r>
            <w:r w:rsidR="009D046A" w:rsidRPr="009710F9">
              <w:t>all</w:t>
            </w:r>
            <w:r w:rsidRPr="009710F9">
              <w:t xml:space="preserve"> </w:t>
            </w:r>
            <w:r w:rsidR="00CB53CB" w:rsidRPr="009710F9">
              <w:t xml:space="preserve">our schools and the pupils </w:t>
            </w:r>
            <w:r w:rsidR="009D046A">
              <w:t xml:space="preserve">of under-resourced backgrounds </w:t>
            </w:r>
            <w:r w:rsidR="00CB53CB" w:rsidRPr="009710F9">
              <w:t xml:space="preserve">that attend. </w:t>
            </w:r>
            <w:r w:rsidR="00DF6CCE">
              <w:t xml:space="preserve">We also know that other </w:t>
            </w:r>
            <w:r w:rsidR="00DF6CCE">
              <w:lastRenderedPageBreak/>
              <w:t xml:space="preserve">children will be able to benefit from this strategy, it is not exclusive to those in receipt of the grant. </w:t>
            </w:r>
          </w:p>
          <w:p w14:paraId="4E0A8933" w14:textId="4CE2FFE9" w:rsidR="00CB53CB" w:rsidRPr="009710F9" w:rsidRDefault="00CB53CB" w:rsidP="00CB53CB">
            <w:r w:rsidRPr="009710F9">
              <w:t xml:space="preserve">This pupil premium strategy and the priorities in our Trust aim to build sustainable, long-term support to </w:t>
            </w:r>
            <w:r w:rsidR="005E1EFB" w:rsidRPr="009710F9">
              <w:t>promote</w:t>
            </w:r>
            <w:r w:rsidRPr="009710F9">
              <w:t>:</w:t>
            </w:r>
          </w:p>
          <w:p w14:paraId="053E43F8" w14:textId="66057BA4" w:rsidR="00CB53CB" w:rsidRPr="009710F9" w:rsidRDefault="00CB53CB" w:rsidP="005E1EFB">
            <w:pPr>
              <w:pStyle w:val="ListParagraph"/>
              <w:numPr>
                <w:ilvl w:val="0"/>
                <w:numId w:val="17"/>
              </w:numPr>
            </w:pPr>
            <w:r w:rsidRPr="009710F9">
              <w:t>A culture of good attendance</w:t>
            </w:r>
          </w:p>
          <w:p w14:paraId="40C23DC9" w14:textId="6D8139C8" w:rsidR="00CB53CB" w:rsidRPr="009710F9" w:rsidRDefault="00CB53CB" w:rsidP="005E1EFB">
            <w:pPr>
              <w:pStyle w:val="ListParagraph"/>
              <w:numPr>
                <w:ilvl w:val="0"/>
                <w:numId w:val="17"/>
              </w:numPr>
            </w:pPr>
            <w:r w:rsidRPr="009710F9">
              <w:t>Support for social, emotional &amp; mental health</w:t>
            </w:r>
            <w:r w:rsidR="00B370CB">
              <w:t xml:space="preserve"> that includes embedding the Relational Approach to develop relationships, based on the evidence of trauma informed practice</w:t>
            </w:r>
          </w:p>
          <w:p w14:paraId="209209D8" w14:textId="71409C98" w:rsidR="005E1EFB" w:rsidRPr="009710F9" w:rsidRDefault="00CB53CB" w:rsidP="005E1EFB">
            <w:pPr>
              <w:pStyle w:val="ListParagraph"/>
              <w:numPr>
                <w:ilvl w:val="0"/>
                <w:numId w:val="17"/>
              </w:numPr>
            </w:pPr>
            <w:r w:rsidRPr="009710F9">
              <w:t xml:space="preserve">Identification of wider need, especially </w:t>
            </w:r>
            <w:r w:rsidR="00E03418">
              <w:t xml:space="preserve">for disadvantage and </w:t>
            </w:r>
            <w:r w:rsidRPr="009710F9">
              <w:t>special educational needs and disabilities</w:t>
            </w:r>
          </w:p>
          <w:p w14:paraId="1CE7246F" w14:textId="5DCC7176" w:rsidR="005E1EFB" w:rsidRPr="009710F9" w:rsidRDefault="005E1EFB" w:rsidP="00CB53CB">
            <w:pPr>
              <w:pStyle w:val="ListParagraph"/>
              <w:numPr>
                <w:ilvl w:val="0"/>
                <w:numId w:val="17"/>
              </w:numPr>
            </w:pPr>
            <w:r w:rsidRPr="009710F9">
              <w:t>Targeted support and CPD for staff to provide all children (and especially those in receipt of the PPG) access and opportunities to achieve academic success</w:t>
            </w:r>
          </w:p>
          <w:p w14:paraId="0363C4EF" w14:textId="77777777" w:rsidR="005E1EFB" w:rsidRPr="009710F9" w:rsidRDefault="00CB53CB" w:rsidP="00CB53CB">
            <w:pPr>
              <w:pStyle w:val="ListParagraph"/>
              <w:numPr>
                <w:ilvl w:val="0"/>
                <w:numId w:val="17"/>
              </w:numPr>
            </w:pPr>
            <w:r w:rsidRPr="009710F9">
              <w:t>Early identification of need, especially with Early English</w:t>
            </w:r>
            <w:r w:rsidR="005E1EFB" w:rsidRPr="009710F9">
              <w:t xml:space="preserve"> and maths,</w:t>
            </w:r>
            <w:r w:rsidRPr="009710F9">
              <w:t xml:space="preserve"> so that all pupils gain the essential skills to access the wider curriculum</w:t>
            </w:r>
            <w:r w:rsidR="005E1EFB" w:rsidRPr="009710F9">
              <w:t xml:space="preserve"> </w:t>
            </w:r>
          </w:p>
          <w:p w14:paraId="2A7D54E9" w14:textId="65409410" w:rsidR="00D66AF5" w:rsidRPr="00D438B7" w:rsidRDefault="005E1EFB" w:rsidP="00B24F04">
            <w:pPr>
              <w:pStyle w:val="ListParagraph"/>
              <w:numPr>
                <w:ilvl w:val="0"/>
                <w:numId w:val="17"/>
              </w:numPr>
            </w:pPr>
            <w:r w:rsidRPr="009710F9">
              <w:t>A commitment</w:t>
            </w:r>
            <w:r w:rsidR="00D438B7" w:rsidRPr="009710F9">
              <w:t xml:space="preserve"> to ensuring that every disadvantaged child receives the best possible education and that we work hard to close gaps in learning and attainment. 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1A31A0DF" w:rsidR="00E66558" w:rsidRDefault="009D71E8" w:rsidP="00AA355B">
      <w:r w:rsidRPr="009710F9">
        <w:rPr>
          <w:bCs/>
        </w:rPr>
        <w:t>This details</w:t>
      </w:r>
      <w:r w:rsidRPr="009710F9">
        <w:t xml:space="preserve"> the key</w:t>
      </w:r>
      <w:r w:rsidRPr="009710F9">
        <w:rPr>
          <w:bCs/>
        </w:rPr>
        <w:t xml:space="preserve"> </w:t>
      </w:r>
      <w:r w:rsidRPr="009710F9">
        <w:t xml:space="preserve">challenges to </w:t>
      </w:r>
      <w:r w:rsidRPr="009710F9">
        <w:rPr>
          <w:bCs/>
        </w:rPr>
        <w:t>achievement that we have</w:t>
      </w:r>
      <w:r w:rsidRPr="009710F9">
        <w:t xml:space="preserve"> identified among </w:t>
      </w:r>
      <w:r w:rsidRPr="009710F9">
        <w:rPr>
          <w:bCs/>
        </w:rPr>
        <w:t>our</w:t>
      </w:r>
      <w:r w:rsidRPr="009710F9">
        <w:t xml:space="preserve"> disadvantaged pupils</w:t>
      </w:r>
      <w:r w:rsidR="009710F9">
        <w:t xml:space="preserve"> in the Trust</w:t>
      </w:r>
      <w:r>
        <w:t>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Pr="007D5BCB" w:rsidRDefault="009D71E8">
            <w:pPr>
              <w:pStyle w:val="TableRow"/>
            </w:pPr>
            <w:r w:rsidRPr="007D5BCB">
              <w:t>1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1C7B4DB3" w:rsidR="00E66558" w:rsidRPr="007D5BCB" w:rsidRDefault="31066698">
            <w:pPr>
              <w:pStyle w:val="TableRowCentered"/>
              <w:jc w:val="left"/>
            </w:pPr>
            <w:r>
              <w:t>An i</w:t>
            </w:r>
            <w:r w:rsidR="009710F9">
              <w:t xml:space="preserve">ncreasing number of pupils with SEND across our schools, especially with </w:t>
            </w:r>
            <w:r w:rsidR="00696EF0">
              <w:t xml:space="preserve">a growing range of </w:t>
            </w:r>
            <w:r w:rsidR="009710F9">
              <w:t>complex needs.</w:t>
            </w:r>
            <w:r w:rsidR="007865B2">
              <w:t xml:space="preserve"> </w:t>
            </w:r>
            <w:r w:rsidR="7C19375E" w:rsidRPr="003A3780">
              <w:t>4</w:t>
            </w:r>
            <w:r w:rsidR="003A3780" w:rsidRPr="003A3780">
              <w:t>2</w:t>
            </w:r>
            <w:r w:rsidR="7C19375E" w:rsidRPr="003A3780">
              <w:t>%</w:t>
            </w:r>
            <w:r w:rsidR="7C19375E">
              <w:t xml:space="preserve"> of </w:t>
            </w:r>
            <w:r w:rsidR="003A3780">
              <w:t xml:space="preserve">children with </w:t>
            </w:r>
            <w:r w:rsidR="7C19375E">
              <w:t xml:space="preserve">SEND </w:t>
            </w:r>
            <w:r w:rsidR="009710F9">
              <w:t>children are also in receipt of the PP</w:t>
            </w:r>
            <w:r w:rsidR="3DE2E372">
              <w:t xml:space="preserve">G </w:t>
            </w:r>
            <w:r w:rsidR="2814A853">
              <w:t xml:space="preserve">and </w:t>
            </w:r>
            <w:r w:rsidR="67DA624C" w:rsidRPr="003A3780">
              <w:t>3</w:t>
            </w:r>
            <w:r w:rsidR="003A3780" w:rsidRPr="003A3780">
              <w:t>3</w:t>
            </w:r>
            <w:r w:rsidR="2814A853" w:rsidRPr="003A3780">
              <w:t>%</w:t>
            </w:r>
            <w:r w:rsidR="2814A853">
              <w:t xml:space="preserve"> of our children with an EHCP are also in receipt of the PPG. </w:t>
            </w:r>
            <w:r w:rsidR="002F5BBE">
              <w:t xml:space="preserve">Delays in external services across Devon mean that as a Trust </w:t>
            </w:r>
            <w:r w:rsidR="00E03418">
              <w:t>we have additional challenges</w:t>
            </w:r>
            <w:r w:rsidR="002F5BBE">
              <w:t xml:space="preserve"> in meeting these needs.</w:t>
            </w:r>
            <w:r w:rsidR="003A3780">
              <w:t xml:space="preserve"> We have a low number of children in receipt of the service family premium (1.6%) and children in care (0.5%).</w:t>
            </w:r>
          </w:p>
        </w:tc>
      </w:tr>
      <w:tr w:rsidR="00E66558" w14:paraId="2A7D54F5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Pr="007D5BCB" w:rsidRDefault="009D71E8">
            <w:pPr>
              <w:pStyle w:val="TableRow"/>
            </w:pPr>
            <w:r w:rsidRPr="007D5BCB">
              <w:t>2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6B97902B" w:rsidR="00E66558" w:rsidRPr="007D5BCB" w:rsidRDefault="009710F9">
            <w:pPr>
              <w:pStyle w:val="TableRowCentered"/>
              <w:jc w:val="left"/>
            </w:pPr>
            <w:r>
              <w:t xml:space="preserve">Levels of deprivation vary across the Trust and are particularly high in our schools in Newton Abbot and East Devon. </w:t>
            </w:r>
            <w:r w:rsidR="00E03418">
              <w:t xml:space="preserve">We may need to work harder </w:t>
            </w:r>
            <w:r w:rsidR="00E03418" w:rsidRPr="00E03418">
              <w:t xml:space="preserve">to engage and involve </w:t>
            </w:r>
            <w:r w:rsidR="00E03418">
              <w:t xml:space="preserve">some parents </w:t>
            </w:r>
            <w:r w:rsidR="00E03418" w:rsidRPr="00E03418">
              <w:t xml:space="preserve">in their children’s education </w:t>
            </w:r>
            <w:r w:rsidR="00751031">
              <w:t>in these areas</w:t>
            </w:r>
            <w:r w:rsidR="00E03418">
              <w:t>,</w:t>
            </w:r>
            <w:r w:rsidR="00751031">
              <w:t xml:space="preserve"> </w:t>
            </w:r>
            <w:r w:rsidR="00E03418">
              <w:t>who may also be</w:t>
            </w:r>
            <w:r w:rsidR="0EA5291E">
              <w:t xml:space="preserve"> struggling with housing and challenging financial circumstances</w:t>
            </w:r>
            <w:r w:rsidR="002F5BBE">
              <w:t>.</w:t>
            </w:r>
          </w:p>
        </w:tc>
      </w:tr>
      <w:tr w:rsidR="00E66558" w14:paraId="2A7D54F8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Pr="007D5BCB" w:rsidRDefault="009D71E8">
            <w:pPr>
              <w:pStyle w:val="TableRow"/>
            </w:pPr>
            <w:r w:rsidRPr="007D5BCB">
              <w:t>3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3082A7AD" w:rsidR="00E66558" w:rsidRPr="007D5BCB" w:rsidRDefault="009710F9">
            <w:pPr>
              <w:pStyle w:val="TableRowCentered"/>
              <w:jc w:val="left"/>
            </w:pPr>
            <w:r>
              <w:t>Attendance</w:t>
            </w:r>
            <w:r w:rsidR="00FE6523">
              <w:t xml:space="preserve"> for </w:t>
            </w:r>
            <w:r w:rsidR="00BB491A">
              <w:t>2024-25</w:t>
            </w:r>
            <w:r w:rsidR="00FE6523">
              <w:t xml:space="preserve"> was </w:t>
            </w:r>
            <w:r w:rsidR="00BB491A">
              <w:t xml:space="preserve">95.1% </w:t>
            </w:r>
            <w:r w:rsidR="003A3780">
              <w:t>for all pupils in the Trust and</w:t>
            </w:r>
            <w:r w:rsidR="00FE6523">
              <w:t xml:space="preserve"> </w:t>
            </w:r>
            <w:r w:rsidR="00FE6523" w:rsidRPr="003A3780">
              <w:t>9</w:t>
            </w:r>
            <w:r w:rsidR="003A3780">
              <w:t>3</w:t>
            </w:r>
            <w:r w:rsidR="00FE6523" w:rsidRPr="003A3780">
              <w:t>%</w:t>
            </w:r>
            <w:r w:rsidR="00FE6523">
              <w:t xml:space="preserve"> for children in receipt of the </w:t>
            </w:r>
            <w:proofErr w:type="gramStart"/>
            <w:r w:rsidR="00FE6523">
              <w:t>PPG</w:t>
            </w:r>
            <w:r w:rsidR="003A3780">
              <w:t>;</w:t>
            </w:r>
            <w:proofErr w:type="gramEnd"/>
            <w:r w:rsidR="00FE6523">
              <w:t xml:space="preserve"> although </w:t>
            </w:r>
            <w:r w:rsidR="003A3780">
              <w:t>less than 1% below</w:t>
            </w:r>
            <w:r w:rsidR="00FE6523">
              <w:t xml:space="preserve"> </w:t>
            </w:r>
            <w:r w:rsidR="003A3780">
              <w:t xml:space="preserve">the </w:t>
            </w:r>
            <w:r w:rsidR="00FE6523">
              <w:t xml:space="preserve">national average we </w:t>
            </w:r>
            <w:r w:rsidR="3C44896B">
              <w:t>aim</w:t>
            </w:r>
            <w:r w:rsidR="00FE6523">
              <w:t xml:space="preserve"> to narrow this gap. For PPG children, persistence absenteeism</w:t>
            </w:r>
            <w:r w:rsidR="00BB491A">
              <w:t xml:space="preserve"> (PA)</w:t>
            </w:r>
            <w:r w:rsidR="00FE6523">
              <w:t xml:space="preserve"> was at </w:t>
            </w:r>
            <w:r w:rsidR="003A3780">
              <w:t>18</w:t>
            </w:r>
            <w:r w:rsidR="00FE6523">
              <w:t>%</w:t>
            </w:r>
            <w:r w:rsidR="003A3780">
              <w:t xml:space="preserve">, this is in line with the </w:t>
            </w:r>
            <w:r w:rsidR="003A3780">
              <w:lastRenderedPageBreak/>
              <w:t xml:space="preserve">national data. </w:t>
            </w:r>
            <w:r w:rsidR="00FE6523">
              <w:t xml:space="preserve">For children not in receipt of the PPG, PA rate was </w:t>
            </w:r>
            <w:r w:rsidR="003A3780">
              <w:t>14</w:t>
            </w:r>
            <w:r w:rsidR="00FE6523">
              <w:t>% so this is a gap we aim to reduce</w:t>
            </w:r>
            <w:r w:rsidR="00E03418">
              <w:t>.</w:t>
            </w:r>
          </w:p>
        </w:tc>
      </w:tr>
      <w:tr w:rsidR="00E66558" w14:paraId="2A7D54FB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Pr="007D5BCB" w:rsidRDefault="009D71E8">
            <w:pPr>
              <w:pStyle w:val="TableRow"/>
            </w:pPr>
            <w:r w:rsidRPr="007D5BCB">
              <w:t>4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5E1A1669" w:rsidR="00E66558" w:rsidRPr="007D5BCB" w:rsidRDefault="00B24F04">
            <w:pPr>
              <w:pStyle w:val="TableRowCentered"/>
              <w:jc w:val="left"/>
              <w:rPr>
                <w:iCs/>
                <w:szCs w:val="24"/>
              </w:rPr>
            </w:pPr>
            <w:r w:rsidRPr="007D5BCB">
              <w:rPr>
                <w:iCs/>
                <w:szCs w:val="24"/>
              </w:rPr>
              <w:t>Attainment in Summer 202</w:t>
            </w:r>
            <w:r w:rsidR="003A3780">
              <w:rPr>
                <w:iCs/>
                <w:szCs w:val="24"/>
              </w:rPr>
              <w:t>5</w:t>
            </w:r>
            <w:r w:rsidRPr="007D5BCB">
              <w:rPr>
                <w:iCs/>
                <w:szCs w:val="24"/>
              </w:rPr>
              <w:t xml:space="preserve"> shows that although many of the children in receipt of PPG funding make good progress </w:t>
            </w:r>
            <w:r w:rsidR="003A3780">
              <w:rPr>
                <w:iCs/>
                <w:szCs w:val="24"/>
              </w:rPr>
              <w:t>from their starting points</w:t>
            </w:r>
            <w:r w:rsidRPr="007D5BCB">
              <w:rPr>
                <w:iCs/>
                <w:szCs w:val="24"/>
              </w:rPr>
              <w:t>,</w:t>
            </w:r>
            <w:r w:rsidR="00FE6523">
              <w:rPr>
                <w:iCs/>
                <w:szCs w:val="24"/>
              </w:rPr>
              <w:t xml:space="preserve"> attainment levels of these children </w:t>
            </w:r>
            <w:r w:rsidR="007D4AF6">
              <w:rPr>
                <w:iCs/>
                <w:szCs w:val="24"/>
              </w:rPr>
              <w:t>are</w:t>
            </w:r>
            <w:r w:rsidR="00FE6523">
              <w:rPr>
                <w:iCs/>
                <w:szCs w:val="24"/>
              </w:rPr>
              <w:t xml:space="preserve"> </w:t>
            </w:r>
            <w:r w:rsidR="003A3780">
              <w:rPr>
                <w:iCs/>
                <w:szCs w:val="24"/>
              </w:rPr>
              <w:t>well</w:t>
            </w:r>
            <w:r w:rsidR="00FE6523">
              <w:rPr>
                <w:iCs/>
                <w:szCs w:val="24"/>
              </w:rPr>
              <w:t xml:space="preserve"> below that of non-PPG children, although it is </w:t>
            </w:r>
            <w:r w:rsidR="003A3780">
              <w:rPr>
                <w:iCs/>
                <w:szCs w:val="24"/>
              </w:rPr>
              <w:t>higher than that of</w:t>
            </w:r>
            <w:r w:rsidR="00FE6523">
              <w:rPr>
                <w:iCs/>
                <w:szCs w:val="24"/>
              </w:rPr>
              <w:t xml:space="preserve"> our SEND children. </w:t>
            </w:r>
            <w:r w:rsidR="003A3780">
              <w:rPr>
                <w:iCs/>
                <w:szCs w:val="24"/>
              </w:rPr>
              <w:t xml:space="preserve">End of KS2 combined data in summer 2025 was 64% for all children </w:t>
            </w:r>
            <w:r w:rsidR="00854428">
              <w:rPr>
                <w:iCs/>
                <w:szCs w:val="24"/>
              </w:rPr>
              <w:t xml:space="preserve">(62% national) </w:t>
            </w:r>
            <w:r w:rsidR="003A3780">
              <w:rPr>
                <w:iCs/>
                <w:szCs w:val="24"/>
              </w:rPr>
              <w:t>and 37%</w:t>
            </w:r>
            <w:r w:rsidR="00854428">
              <w:rPr>
                <w:iCs/>
                <w:szCs w:val="24"/>
              </w:rPr>
              <w:t xml:space="preserve"> (47% national)</w:t>
            </w:r>
            <w:r w:rsidR="003A3780">
              <w:rPr>
                <w:iCs/>
                <w:szCs w:val="24"/>
              </w:rPr>
              <w:t xml:space="preserve"> for children in receipt of PPG, this is a gap we need to </w:t>
            </w:r>
            <w:proofErr w:type="gramStart"/>
            <w:r w:rsidR="003A3780">
              <w:rPr>
                <w:iCs/>
                <w:szCs w:val="24"/>
              </w:rPr>
              <w:t>close</w:t>
            </w:r>
            <w:proofErr w:type="gramEnd"/>
            <w:r w:rsidR="00854428">
              <w:rPr>
                <w:iCs/>
                <w:szCs w:val="24"/>
              </w:rPr>
              <w:t xml:space="preserve"> and it is higher than the national gap of 22%.</w:t>
            </w:r>
          </w:p>
        </w:tc>
      </w:tr>
    </w:tbl>
    <w:p w14:paraId="2A7D54FF" w14:textId="2930B293" w:rsidR="00E66558" w:rsidRDefault="009D71E8">
      <w:pPr>
        <w:pStyle w:val="Heading2"/>
        <w:spacing w:before="600"/>
      </w:pPr>
      <w:bookmarkStart w:id="16" w:name="_Toc443397160"/>
      <w:r>
        <w:t xml:space="preserve">Intended </w:t>
      </w:r>
      <w:r w:rsidRPr="00A968DA">
        <w:t>outcomes</w:t>
      </w:r>
      <w:r>
        <w:t xml:space="preserve"> </w:t>
      </w:r>
      <w:r w:rsidR="00E03418">
        <w:t>2024-2025</w:t>
      </w:r>
      <w:r w:rsidR="00D71EBD">
        <w:t xml:space="preserve"> REVIEW</w:t>
      </w:r>
    </w:p>
    <w:p w14:paraId="2A7D5500" w14:textId="388AEBFC" w:rsidR="00E66558" w:rsidRPr="00E03418" w:rsidRDefault="009D71E8">
      <w:r>
        <w:rPr>
          <w:color w:val="auto"/>
        </w:rPr>
        <w:t xml:space="preserve">This </w:t>
      </w:r>
      <w:r w:rsidR="00E03418">
        <w:rPr>
          <w:color w:val="auto"/>
        </w:rPr>
        <w:t>outlines</w:t>
      </w:r>
      <w:r>
        <w:rPr>
          <w:color w:val="auto"/>
        </w:rPr>
        <w:t xml:space="preserve"> the outcomes we </w:t>
      </w:r>
      <w:r w:rsidR="00E03418">
        <w:rPr>
          <w:color w:val="auto"/>
        </w:rPr>
        <w:t>set</w:t>
      </w:r>
      <w:r>
        <w:rPr>
          <w:color w:val="auto"/>
        </w:rPr>
        <w:t xml:space="preserve"> </w:t>
      </w:r>
      <w:r w:rsidR="00E03418" w:rsidRPr="00E03418">
        <w:rPr>
          <w:color w:val="auto"/>
        </w:rPr>
        <w:t xml:space="preserve">in the previous year and our </w:t>
      </w:r>
      <w:r w:rsidR="00E03418">
        <w:rPr>
          <w:color w:val="auto"/>
        </w:rPr>
        <w:t>success in achieving them.</w:t>
      </w:r>
    </w:p>
    <w:tbl>
      <w:tblPr>
        <w:tblW w:w="53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5388"/>
      </w:tblGrid>
      <w:tr w:rsidR="00E66558" w14:paraId="2A7D5503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D3D1" w14:textId="77777777" w:rsidR="00E66558" w:rsidRDefault="003F2937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</w:t>
            </w:r>
            <w:r w:rsidR="00751031" w:rsidRPr="00E03418">
              <w:rPr>
                <w:sz w:val="21"/>
                <w:szCs w:val="21"/>
              </w:rPr>
              <w:t xml:space="preserve">o raise attainment by investing in high-quality teaching for the benefit of all children; this includes support for Early </w:t>
            </w:r>
            <w:r w:rsidR="00137025" w:rsidRPr="00E03418">
              <w:rPr>
                <w:sz w:val="21"/>
                <w:szCs w:val="21"/>
              </w:rPr>
              <w:t>C</w:t>
            </w:r>
            <w:r w:rsidR="00751031" w:rsidRPr="00E03418">
              <w:rPr>
                <w:sz w:val="21"/>
                <w:szCs w:val="21"/>
              </w:rPr>
              <w:t xml:space="preserve">areer </w:t>
            </w:r>
            <w:r w:rsidR="00137025" w:rsidRPr="00E03418">
              <w:rPr>
                <w:sz w:val="21"/>
                <w:szCs w:val="21"/>
              </w:rPr>
              <w:t>T</w:t>
            </w:r>
            <w:r w:rsidR="00751031" w:rsidRPr="00E03418">
              <w:rPr>
                <w:sz w:val="21"/>
                <w:szCs w:val="21"/>
              </w:rPr>
              <w:t>eachers and training and professional development for teachers</w:t>
            </w:r>
            <w:r w:rsidR="00137025" w:rsidRPr="00E03418">
              <w:rPr>
                <w:sz w:val="21"/>
                <w:szCs w:val="21"/>
              </w:rPr>
              <w:t>, especially in writing this academic year.</w:t>
            </w:r>
          </w:p>
          <w:p w14:paraId="638F3B98" w14:textId="77777777" w:rsidR="00E03418" w:rsidRDefault="00E03418" w:rsidP="00E03418">
            <w:pPr>
              <w:pStyle w:val="TableRow"/>
              <w:rPr>
                <w:sz w:val="21"/>
                <w:szCs w:val="21"/>
              </w:rPr>
            </w:pPr>
          </w:p>
          <w:p w14:paraId="7738F74E" w14:textId="5091CFBB" w:rsidR="00E03418" w:rsidRPr="00E03418" w:rsidRDefault="00E03418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>Review</w:t>
            </w:r>
            <w:r w:rsidRPr="00E03418">
              <w:rPr>
                <w:i/>
                <w:iCs/>
                <w:sz w:val="21"/>
                <w:szCs w:val="21"/>
              </w:rPr>
              <w:t>: Our English Trust lead provided high quality CPD in phonics and writing and visited school</w:t>
            </w:r>
            <w:r>
              <w:rPr>
                <w:i/>
                <w:iCs/>
                <w:sz w:val="21"/>
                <w:szCs w:val="21"/>
              </w:rPr>
              <w:t>s</w:t>
            </w:r>
            <w:r w:rsidRPr="00E03418">
              <w:rPr>
                <w:i/>
                <w:iCs/>
                <w:sz w:val="21"/>
                <w:szCs w:val="21"/>
              </w:rPr>
              <w:t xml:space="preserve"> to give bespoke support. Systems and processes in tracking progress and</w:t>
            </w:r>
            <w:r w:rsidRPr="00E03418">
              <w:rPr>
                <w:sz w:val="21"/>
                <w:szCs w:val="21"/>
              </w:rPr>
              <w:t xml:space="preserve"> </w:t>
            </w:r>
            <w:r w:rsidRPr="00E03418">
              <w:rPr>
                <w:i/>
                <w:iCs/>
                <w:sz w:val="21"/>
                <w:szCs w:val="21"/>
              </w:rPr>
              <w:t xml:space="preserve">closing gaps are becoming more embedded. </w:t>
            </w:r>
            <w:r>
              <w:rPr>
                <w:i/>
                <w:iCs/>
                <w:sz w:val="21"/>
                <w:szCs w:val="21"/>
              </w:rPr>
              <w:t xml:space="preserve">Overall, phonics scores improved by 1% and Y6 writing outcomes by 8%. </w:t>
            </w:r>
          </w:p>
          <w:p w14:paraId="2A7D5504" w14:textId="1F3628FA" w:rsidR="00E03418" w:rsidRPr="00E03418" w:rsidRDefault="00E03418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CC31" w14:textId="2F5B529E" w:rsidR="001F0561" w:rsidRPr="00E03418" w:rsidRDefault="00051900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Writing strategy is embedded across the Trust</w:t>
            </w:r>
            <w:r w:rsidR="00137025" w:rsidRPr="00E03418">
              <w:rPr>
                <w:sz w:val="21"/>
                <w:szCs w:val="21"/>
              </w:rPr>
              <w:t>, with quality CPD for staff and regular moderation.</w:t>
            </w:r>
          </w:p>
          <w:p w14:paraId="73190E93" w14:textId="09B8698D" w:rsidR="008A5A39" w:rsidRPr="00E03418" w:rsidRDefault="008A5A39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High quality phonics teaching is improving attainment in the Y1 phonics screening check</w:t>
            </w:r>
          </w:p>
          <w:p w14:paraId="10ACB42C" w14:textId="79BD8FAC" w:rsidR="00051900" w:rsidRPr="00E03418" w:rsidRDefault="00051900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Assessment data shows improved outcomes</w:t>
            </w:r>
            <w:r w:rsidR="00137025" w:rsidRPr="00E03418">
              <w:rPr>
                <w:sz w:val="21"/>
                <w:szCs w:val="21"/>
              </w:rPr>
              <w:t xml:space="preserve"> in writing at the end of KS2, especially for children in receipt of the PPG.</w:t>
            </w:r>
          </w:p>
          <w:p w14:paraId="2A7D5505" w14:textId="501712E1" w:rsidR="00051900" w:rsidRPr="00E03418" w:rsidRDefault="00051900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Teachers’ subject knowledge has developed </w:t>
            </w:r>
            <w:proofErr w:type="gramStart"/>
            <w:r w:rsidRPr="00E03418">
              <w:rPr>
                <w:sz w:val="21"/>
                <w:szCs w:val="21"/>
              </w:rPr>
              <w:t>as a result of</w:t>
            </w:r>
            <w:proofErr w:type="gramEnd"/>
            <w:r w:rsidRPr="00E03418">
              <w:rPr>
                <w:sz w:val="21"/>
                <w:szCs w:val="21"/>
              </w:rPr>
              <w:t xml:space="preserve"> quality Trust-led CPD</w:t>
            </w:r>
          </w:p>
        </w:tc>
      </w:tr>
      <w:tr w:rsidR="00E66558" w14:paraId="2A7D5509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056D" w14:textId="77777777" w:rsidR="00E66558" w:rsidRDefault="00751031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To improve attendance and offer support for children experiencing emotional school-based absence</w:t>
            </w:r>
            <w:r w:rsidR="00E03418">
              <w:rPr>
                <w:sz w:val="21"/>
                <w:szCs w:val="21"/>
              </w:rPr>
              <w:t>.</w:t>
            </w:r>
          </w:p>
          <w:p w14:paraId="2A5F2FC2" w14:textId="77777777" w:rsidR="00E03418" w:rsidRDefault="00E03418" w:rsidP="00E03418">
            <w:pPr>
              <w:pStyle w:val="TableRow"/>
              <w:rPr>
                <w:sz w:val="21"/>
                <w:szCs w:val="21"/>
              </w:rPr>
            </w:pPr>
          </w:p>
          <w:p w14:paraId="7087AD88" w14:textId="0A70CF93" w:rsidR="00E03418" w:rsidRDefault="00D812C6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>Review</w:t>
            </w:r>
            <w:r>
              <w:rPr>
                <w:i/>
                <w:iCs/>
                <w:sz w:val="21"/>
                <w:szCs w:val="21"/>
              </w:rPr>
              <w:t xml:space="preserve">: </w:t>
            </w:r>
            <w:r w:rsidR="00E03418">
              <w:rPr>
                <w:i/>
                <w:iCs/>
                <w:sz w:val="21"/>
                <w:szCs w:val="21"/>
              </w:rPr>
              <w:t>Across the Trust, our attendance lead has ensured all schools follow tighter procedures for identifying and managing attendance concerns.</w:t>
            </w:r>
            <w:r>
              <w:rPr>
                <w:i/>
                <w:iCs/>
                <w:sz w:val="21"/>
                <w:szCs w:val="21"/>
              </w:rPr>
              <w:t xml:space="preserve"> Trust data shows</w:t>
            </w:r>
            <w:r w:rsidR="00DE4346">
              <w:rPr>
                <w:i/>
                <w:iCs/>
                <w:sz w:val="21"/>
                <w:szCs w:val="21"/>
              </w:rPr>
              <w:t xml:space="preserve"> a good improvement from the previous year, with attendance for children in receipt of PPG increasing from 91.9% to 93% and persistent absenteeism reducing by almost 10%.</w:t>
            </w:r>
          </w:p>
          <w:p w14:paraId="0154F695" w14:textId="77777777" w:rsidR="00D812C6" w:rsidRDefault="00D812C6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</w:p>
          <w:p w14:paraId="2A7D5507" w14:textId="7BCECADF" w:rsidR="00D812C6" w:rsidRPr="00E03418" w:rsidRDefault="00D812C6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FCD6" w14:textId="77777777" w:rsidR="00E66558" w:rsidRPr="00E03418" w:rsidRDefault="00F41D7F" w:rsidP="00F41D7F">
            <w:pPr>
              <w:pStyle w:val="TableRowCentered"/>
              <w:numPr>
                <w:ilvl w:val="0"/>
                <w:numId w:val="22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Increased and maintained rates of attendance including a reduction in persistent absence for those in receipt of the PPG</w:t>
            </w:r>
          </w:p>
          <w:p w14:paraId="3DB4082F" w14:textId="0CD28634" w:rsidR="00F41D7F" w:rsidRPr="00E03418" w:rsidRDefault="00F41D7F" w:rsidP="00F41D7F">
            <w:pPr>
              <w:pStyle w:val="TableRowCentered"/>
              <w:numPr>
                <w:ilvl w:val="0"/>
                <w:numId w:val="22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Attendance leads and IIH regularly monitor attendance levels and through an improved IT system, lin</w:t>
            </w:r>
            <w:r w:rsidR="00137025" w:rsidRPr="00E03418">
              <w:rPr>
                <w:sz w:val="21"/>
                <w:szCs w:val="21"/>
              </w:rPr>
              <w:t>k</w:t>
            </w:r>
            <w:r w:rsidRPr="00E03418">
              <w:rPr>
                <w:sz w:val="21"/>
                <w:szCs w:val="21"/>
              </w:rPr>
              <w:t xml:space="preserve"> these to attainment and progress</w:t>
            </w:r>
          </w:p>
          <w:p w14:paraId="2A7D5508" w14:textId="3EC5A20F" w:rsidR="00F41D7F" w:rsidRPr="00E03418" w:rsidRDefault="00F41D7F" w:rsidP="00F41D7F">
            <w:pPr>
              <w:pStyle w:val="TableRowCentered"/>
              <w:numPr>
                <w:ilvl w:val="0"/>
                <w:numId w:val="22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Greater understanding of ESBA and support in place for families where it is an area of concern</w:t>
            </w:r>
          </w:p>
        </w:tc>
      </w:tr>
      <w:tr w:rsidR="00E66558" w14:paraId="2A7D550C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EE50" w14:textId="77777777" w:rsidR="00E66558" w:rsidRDefault="00751031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To ensure high-quality </w:t>
            </w:r>
            <w:r w:rsidR="001F0561" w:rsidRPr="00E03418">
              <w:rPr>
                <w:sz w:val="21"/>
                <w:szCs w:val="21"/>
              </w:rPr>
              <w:t xml:space="preserve">support for </w:t>
            </w:r>
            <w:r w:rsidRPr="00E03418">
              <w:rPr>
                <w:sz w:val="21"/>
                <w:szCs w:val="21"/>
              </w:rPr>
              <w:t>teach</w:t>
            </w:r>
            <w:r w:rsidR="001F0561" w:rsidRPr="00E03418">
              <w:rPr>
                <w:sz w:val="21"/>
                <w:szCs w:val="21"/>
              </w:rPr>
              <w:t>ing English and maths,</w:t>
            </w:r>
            <w:r w:rsidRPr="00E03418">
              <w:rPr>
                <w:sz w:val="21"/>
                <w:szCs w:val="21"/>
              </w:rPr>
              <w:t xml:space="preserve"> so that pupil needs are met and they make excellent progress</w:t>
            </w:r>
          </w:p>
          <w:p w14:paraId="755399AB" w14:textId="77777777" w:rsidR="00DE4346" w:rsidRDefault="00DE4346" w:rsidP="00DE4346">
            <w:pPr>
              <w:pStyle w:val="TableRow"/>
              <w:rPr>
                <w:sz w:val="21"/>
                <w:szCs w:val="21"/>
              </w:rPr>
            </w:pPr>
          </w:p>
          <w:p w14:paraId="3A2E29E0" w14:textId="77777777" w:rsidR="00DE4346" w:rsidRPr="00DE4346" w:rsidRDefault="00DE4346" w:rsidP="00DE4346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lastRenderedPageBreak/>
              <w:t>Review</w:t>
            </w:r>
            <w:r w:rsidRPr="00DE4346">
              <w:rPr>
                <w:i/>
                <w:iCs/>
                <w:sz w:val="21"/>
                <w:szCs w:val="21"/>
              </w:rPr>
              <w:t xml:space="preserve">: See outcome 1. </w:t>
            </w:r>
          </w:p>
          <w:p w14:paraId="37688A63" w14:textId="77777777" w:rsidR="00DE4346" w:rsidRDefault="00DE4346" w:rsidP="00DE4346">
            <w:pPr>
              <w:pStyle w:val="TableRow"/>
              <w:rPr>
                <w:sz w:val="21"/>
                <w:szCs w:val="21"/>
              </w:rPr>
            </w:pPr>
          </w:p>
          <w:p w14:paraId="2A7D550A" w14:textId="277BBEE6" w:rsidR="00DE4346" w:rsidRPr="00DE4346" w:rsidRDefault="00B40D65" w:rsidP="00DE4346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B40D65">
              <w:rPr>
                <w:i/>
                <w:iCs/>
                <w:sz w:val="21"/>
                <w:szCs w:val="21"/>
              </w:rPr>
              <w:t>P</w:t>
            </w:r>
            <w:r>
              <w:rPr>
                <w:i/>
                <w:iCs/>
                <w:sz w:val="21"/>
                <w:szCs w:val="21"/>
              </w:rPr>
              <w:t>upil</w:t>
            </w:r>
            <w:r w:rsidRPr="00B40D65">
              <w:rPr>
                <w:i/>
                <w:iCs/>
                <w:sz w:val="21"/>
                <w:szCs w:val="21"/>
              </w:rPr>
              <w:t xml:space="preserve"> progress meetings along with targeted CBD have helped improve outcomes for all children</w:t>
            </w:r>
            <w:r>
              <w:rPr>
                <w:i/>
                <w:iCs/>
                <w:sz w:val="21"/>
                <w:szCs w:val="21"/>
              </w:rPr>
              <w:t xml:space="preserve">. </w:t>
            </w:r>
            <w:r w:rsidRPr="00B40D65">
              <w:rPr>
                <w:i/>
                <w:iCs/>
                <w:sz w:val="21"/>
                <w:szCs w:val="21"/>
              </w:rPr>
              <w:t>The curriculum is carefully tailored to meet the needs of all children.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0C46" w14:textId="4F9DB097" w:rsidR="00AE4C57" w:rsidRPr="00E03418" w:rsidRDefault="00AE4C57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lastRenderedPageBreak/>
              <w:t xml:space="preserve">Careful and accurate diagnosis of pupil needs, we will assess and not assume. </w:t>
            </w:r>
          </w:p>
          <w:p w14:paraId="76D45E84" w14:textId="183F7D71" w:rsidR="00E66558" w:rsidRPr="00E03418" w:rsidRDefault="00F41D7F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Assessment </w:t>
            </w:r>
            <w:r w:rsidR="001F0561" w:rsidRPr="00E03418">
              <w:rPr>
                <w:sz w:val="21"/>
                <w:szCs w:val="21"/>
              </w:rPr>
              <w:t>Data</w:t>
            </w:r>
            <w:r w:rsidRPr="00E03418">
              <w:rPr>
                <w:sz w:val="21"/>
                <w:szCs w:val="21"/>
              </w:rPr>
              <w:t xml:space="preserve"> </w:t>
            </w:r>
            <w:r w:rsidR="00696EF0" w:rsidRPr="00E03418">
              <w:rPr>
                <w:sz w:val="21"/>
                <w:szCs w:val="21"/>
              </w:rPr>
              <w:t>shows evidence</w:t>
            </w:r>
            <w:r w:rsidRPr="00E03418">
              <w:rPr>
                <w:sz w:val="21"/>
                <w:szCs w:val="21"/>
              </w:rPr>
              <w:t xml:space="preserve"> </w:t>
            </w:r>
            <w:r w:rsidR="00696EF0" w:rsidRPr="00E03418">
              <w:rPr>
                <w:sz w:val="21"/>
                <w:szCs w:val="21"/>
              </w:rPr>
              <w:t xml:space="preserve">of </w:t>
            </w:r>
            <w:r w:rsidRPr="00E03418">
              <w:rPr>
                <w:sz w:val="21"/>
                <w:szCs w:val="21"/>
              </w:rPr>
              <w:t>improved outcomes and at least good progress for all groups of pupils</w:t>
            </w:r>
          </w:p>
          <w:p w14:paraId="21431FF6" w14:textId="36B67719" w:rsidR="00F41D7F" w:rsidRPr="00E03418" w:rsidRDefault="006324FC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lastRenderedPageBreak/>
              <w:t xml:space="preserve">Records show that </w:t>
            </w:r>
            <w:r w:rsidR="001F0561" w:rsidRPr="00E03418">
              <w:rPr>
                <w:sz w:val="21"/>
                <w:szCs w:val="21"/>
              </w:rPr>
              <w:t xml:space="preserve">PPG children </w:t>
            </w:r>
            <w:r w:rsidRPr="00E03418">
              <w:rPr>
                <w:sz w:val="21"/>
                <w:szCs w:val="21"/>
              </w:rPr>
              <w:t xml:space="preserve">are </w:t>
            </w:r>
            <w:r w:rsidR="001F0561" w:rsidRPr="00E03418">
              <w:rPr>
                <w:sz w:val="21"/>
                <w:szCs w:val="21"/>
              </w:rPr>
              <w:t>discussed at pupil progress meetings and moderation meetings</w:t>
            </w:r>
            <w:r w:rsidR="00EF502D" w:rsidRPr="00E03418">
              <w:rPr>
                <w:sz w:val="21"/>
                <w:szCs w:val="21"/>
              </w:rPr>
              <w:t xml:space="preserve"> with appropriate and aspirational targets set</w:t>
            </w:r>
          </w:p>
          <w:p w14:paraId="1849C364" w14:textId="77777777" w:rsidR="007D5BCB" w:rsidRPr="00E03418" w:rsidRDefault="00EF502D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TAs and teachers receive appropriate support and training so they can close gaps</w:t>
            </w:r>
          </w:p>
          <w:p w14:paraId="2A7D550B" w14:textId="45A9A583" w:rsidR="00AE4C57" w:rsidRPr="00E03418" w:rsidRDefault="00AE4C57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Ensure that schools are aware of high attainers in receipt of the PPG so that they can ensure sufficient challenge</w:t>
            </w:r>
          </w:p>
        </w:tc>
      </w:tr>
      <w:tr w:rsidR="00E66558" w14:paraId="2A7D550F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CD13" w14:textId="77777777" w:rsidR="00E66558" w:rsidRDefault="00751031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lastRenderedPageBreak/>
              <w:t xml:space="preserve">To ensure children have access to a wider curriculum that includes </w:t>
            </w:r>
            <w:r w:rsidR="003F2937" w:rsidRPr="00E03418">
              <w:rPr>
                <w:sz w:val="21"/>
                <w:szCs w:val="21"/>
              </w:rPr>
              <w:t xml:space="preserve">for example, </w:t>
            </w:r>
            <w:r w:rsidRPr="00E03418">
              <w:rPr>
                <w:sz w:val="21"/>
                <w:szCs w:val="21"/>
              </w:rPr>
              <w:t>Forest School, music, sports events, trips and residentials and extra-curricular clubs</w:t>
            </w:r>
          </w:p>
          <w:p w14:paraId="3A42DBBB" w14:textId="77777777" w:rsidR="00DE4346" w:rsidRDefault="00DE4346" w:rsidP="00DE4346">
            <w:pPr>
              <w:pStyle w:val="TableRow"/>
              <w:rPr>
                <w:sz w:val="21"/>
                <w:szCs w:val="21"/>
              </w:rPr>
            </w:pPr>
          </w:p>
          <w:p w14:paraId="2A7D550D" w14:textId="3CBBC6FD" w:rsidR="00DE4346" w:rsidRPr="00DE4346" w:rsidRDefault="00DE4346" w:rsidP="00DE4346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>Review:</w:t>
            </w:r>
            <w:r w:rsidR="002475C6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2475C6">
              <w:rPr>
                <w:i/>
                <w:iCs/>
                <w:sz w:val="21"/>
                <w:szCs w:val="21"/>
              </w:rPr>
              <w:t>The pupil</w:t>
            </w:r>
            <w:r w:rsidR="00FF3CEF" w:rsidRPr="002475C6">
              <w:rPr>
                <w:i/>
                <w:iCs/>
                <w:sz w:val="21"/>
                <w:szCs w:val="21"/>
              </w:rPr>
              <w:t xml:space="preserve"> premium children </w:t>
            </w:r>
            <w:proofErr w:type="gramStart"/>
            <w:r w:rsidR="00FF3CEF" w:rsidRPr="002475C6">
              <w:rPr>
                <w:i/>
                <w:iCs/>
                <w:sz w:val="21"/>
                <w:szCs w:val="21"/>
              </w:rPr>
              <w:t>have the opportunity to</w:t>
            </w:r>
            <w:proofErr w:type="gramEnd"/>
            <w:r w:rsidR="00FF3CEF" w:rsidRPr="002475C6">
              <w:rPr>
                <w:i/>
                <w:iCs/>
                <w:sz w:val="21"/>
                <w:szCs w:val="21"/>
              </w:rPr>
              <w:t xml:space="preserve"> attend after school clubs</w:t>
            </w:r>
            <w:r w:rsidR="002475C6" w:rsidRPr="002475C6">
              <w:rPr>
                <w:i/>
                <w:iCs/>
                <w:sz w:val="21"/>
                <w:szCs w:val="21"/>
              </w:rPr>
              <w:t xml:space="preserve"> along with attending sports events and activities during curriculum time.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648E" w14:textId="5A091416" w:rsidR="00E66558" w:rsidRPr="00E03418" w:rsidRDefault="001F0561" w:rsidP="00F41D7F">
            <w:pPr>
              <w:pStyle w:val="TableRowCentered"/>
              <w:numPr>
                <w:ilvl w:val="0"/>
                <w:numId w:val="24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Expectation that all children in receipt of PPG will attend at least one </w:t>
            </w:r>
            <w:r w:rsidR="00EF502D" w:rsidRPr="00E03418">
              <w:rPr>
                <w:sz w:val="21"/>
                <w:szCs w:val="21"/>
              </w:rPr>
              <w:t xml:space="preserve">Trust </w:t>
            </w:r>
            <w:r w:rsidRPr="00E03418">
              <w:rPr>
                <w:sz w:val="21"/>
                <w:szCs w:val="21"/>
              </w:rPr>
              <w:t xml:space="preserve">sport event </w:t>
            </w:r>
          </w:p>
          <w:p w14:paraId="6174C287" w14:textId="77777777" w:rsidR="001F0561" w:rsidRPr="00E03418" w:rsidRDefault="001F0561" w:rsidP="00F41D7F">
            <w:pPr>
              <w:pStyle w:val="TableRowCentered"/>
              <w:numPr>
                <w:ilvl w:val="0"/>
                <w:numId w:val="24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PE team will be aware of these vulnerable children and build in support for those not reaching expectations</w:t>
            </w:r>
          </w:p>
          <w:p w14:paraId="2A7D550E" w14:textId="6D502608" w:rsidR="006324FC" w:rsidRPr="00E03418" w:rsidRDefault="006324FC" w:rsidP="00F41D7F">
            <w:pPr>
              <w:pStyle w:val="TableRowCentered"/>
              <w:numPr>
                <w:ilvl w:val="0"/>
                <w:numId w:val="24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Evidence from schools shows that those with PPG are attending trips and residentials</w:t>
            </w:r>
            <w:r w:rsidR="00F67133" w:rsidRPr="00E03418">
              <w:rPr>
                <w:sz w:val="21"/>
                <w:szCs w:val="21"/>
              </w:rPr>
              <w:t xml:space="preserve"> and are not missing out for financial reasons</w:t>
            </w:r>
          </w:p>
        </w:tc>
      </w:tr>
      <w:tr w:rsidR="00B24F04" w14:paraId="774AEE42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9756" w14:textId="1801363D" w:rsidR="00DE4346" w:rsidRPr="00DE4346" w:rsidRDefault="00B24F04" w:rsidP="00DE4346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To ensure timely support for children identified as having SEND</w:t>
            </w:r>
            <w:r w:rsidR="003F2937" w:rsidRPr="00E03418">
              <w:rPr>
                <w:sz w:val="21"/>
                <w:szCs w:val="21"/>
              </w:rPr>
              <w:t>, especially identifying support for children also in receipt of the PPG.</w:t>
            </w:r>
            <w:r w:rsidR="008A5A39" w:rsidRPr="00E03418">
              <w:rPr>
                <w:sz w:val="21"/>
                <w:szCs w:val="21"/>
              </w:rPr>
              <w:t xml:space="preserve"> To support vulnerable children who may have SEM</w:t>
            </w:r>
            <w:r w:rsidR="00137025" w:rsidRPr="00E03418">
              <w:rPr>
                <w:sz w:val="21"/>
                <w:szCs w:val="21"/>
              </w:rPr>
              <w:t>H</w:t>
            </w:r>
            <w:r w:rsidR="008A5A39" w:rsidRPr="00E03418">
              <w:rPr>
                <w:sz w:val="21"/>
                <w:szCs w:val="21"/>
              </w:rPr>
              <w:t xml:space="preserve"> or SLCN. </w:t>
            </w:r>
          </w:p>
          <w:p w14:paraId="59100011" w14:textId="0ACDB74C" w:rsidR="00DE4346" w:rsidRPr="00DE4346" w:rsidRDefault="00DE4346" w:rsidP="00DE4346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 xml:space="preserve">Review: </w:t>
            </w:r>
            <w:r w:rsidRPr="00E63B48">
              <w:rPr>
                <w:i/>
                <w:iCs/>
                <w:sz w:val="21"/>
                <w:szCs w:val="21"/>
              </w:rPr>
              <w:t>The inclusion hub has introduced a training programme with a particular focus on embedding the relational approach. Regular reviews of attainment for children with SEND &amp; disadvantage have been strengthened by the Executive Improvement Team.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98A0" w14:textId="235D5F36" w:rsidR="00B24F04" w:rsidRPr="00E03418" w:rsidRDefault="001F0561" w:rsidP="008A5A39">
            <w:pPr>
              <w:pStyle w:val="TableRowCentered"/>
              <w:numPr>
                <w:ilvl w:val="0"/>
                <w:numId w:val="25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IIH will deliver CPD for all Trust staff</w:t>
            </w:r>
            <w:r w:rsidR="008A5A39" w:rsidRPr="00E03418">
              <w:rPr>
                <w:sz w:val="21"/>
                <w:szCs w:val="21"/>
              </w:rPr>
              <w:t xml:space="preserve"> and measure the impact of this</w:t>
            </w:r>
          </w:p>
          <w:p w14:paraId="07C9EF1B" w14:textId="77777777" w:rsidR="008A5A39" w:rsidRPr="00E03418" w:rsidRDefault="00F41D7F" w:rsidP="008A5A39">
            <w:pPr>
              <w:pStyle w:val="TableRowCentered"/>
              <w:numPr>
                <w:ilvl w:val="0"/>
                <w:numId w:val="25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TA training programme in place that raises understanding of disadvantage – entry questionnaire to gauge knowledge</w:t>
            </w:r>
          </w:p>
          <w:p w14:paraId="55DF6C4F" w14:textId="22934BA6" w:rsidR="001F0561" w:rsidRPr="00E03418" w:rsidRDefault="001F0561" w:rsidP="008A5A39">
            <w:pPr>
              <w:pStyle w:val="TableRowCentered"/>
              <w:numPr>
                <w:ilvl w:val="0"/>
                <w:numId w:val="25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Inclusion Reviews to have an additional focus on children receiving PPG</w:t>
            </w:r>
          </w:p>
        </w:tc>
      </w:tr>
    </w:tbl>
    <w:p w14:paraId="2A06959E" w14:textId="2218981A" w:rsidR="00120AB1" w:rsidRDefault="00120AB1" w:rsidP="00BD4B12"/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6A88333F" w:rsidR="00E66558" w:rsidRDefault="009D71E8">
      <w:pPr>
        <w:spacing w:after="480"/>
      </w:pPr>
      <w:r>
        <w:t xml:space="preserve">This details how we intend to spend our pupil premium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5D59FA66" w:rsidR="00E66558" w:rsidRDefault="009D71E8">
      <w:pPr>
        <w:pStyle w:val="Heading3"/>
      </w:pPr>
      <w:r>
        <w:t>Teaching</w:t>
      </w:r>
      <w:r w:rsidR="00D71EBD">
        <w:t xml:space="preserve"> and staffing costs</w:t>
      </w:r>
      <w:r>
        <w:t xml:space="preserve"> (for example, CPD, recruitment and retention)</w:t>
      </w:r>
      <w:r w:rsidR="00D71EBD">
        <w:t xml:space="preserve"> and resources (e.g. subscriptions, IT)</w:t>
      </w:r>
    </w:p>
    <w:p w14:paraId="36AB2637" w14:textId="4FA2C67C" w:rsidR="001F0561" w:rsidRPr="007D4AF6" w:rsidRDefault="009D71E8">
      <w:pPr>
        <w:rPr>
          <w:i/>
          <w:iCs/>
        </w:rPr>
      </w:pPr>
      <w:r w:rsidRPr="007D4AF6">
        <w:t>Budgeted cost: £</w:t>
      </w:r>
      <w:r w:rsidR="00D71EBD">
        <w:t>221,061</w:t>
      </w:r>
    </w:p>
    <w:tbl>
      <w:tblPr>
        <w:tblW w:w="530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5528"/>
        <w:gridCol w:w="1419"/>
      </w:tblGrid>
      <w:tr w:rsidR="00E66558" w14:paraId="2A7D5519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 w:rsidRPr="002F5BBE">
              <w:rPr>
                <w:sz w:val="21"/>
                <w:szCs w:val="21"/>
              </w:rPr>
              <w:t>Challenge number(s) addressed</w:t>
            </w:r>
          </w:p>
        </w:tc>
      </w:tr>
      <w:tr w:rsidR="00E66558" w14:paraId="2A7D551D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EFC9" w14:textId="77777777" w:rsidR="001F0561" w:rsidRDefault="003F2937" w:rsidP="001F0561">
            <w:pPr>
              <w:pStyle w:val="TableRow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CPD for all staff into ways to support children with SEND. This includes training on OAIP, adaptive teaching and disadvantage. </w:t>
            </w:r>
          </w:p>
          <w:p w14:paraId="3FBE981D" w14:textId="77777777" w:rsidR="008F3A56" w:rsidRDefault="008F3A56" w:rsidP="001F0561">
            <w:pPr>
              <w:pStyle w:val="TableRow"/>
              <w:rPr>
                <w:i/>
                <w:iCs/>
                <w:sz w:val="22"/>
                <w:szCs w:val="22"/>
              </w:rPr>
            </w:pPr>
          </w:p>
          <w:p w14:paraId="2A7D551A" w14:textId="448F5369" w:rsidR="008F3A56" w:rsidRPr="001F0561" w:rsidRDefault="008F3A56" w:rsidP="00D71EBD">
            <w:pPr>
              <w:pStyle w:val="TableRow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Monitor quality of support through Inclusion Reviews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1C27" w14:textId="77777777" w:rsidR="00E66558" w:rsidRDefault="008F3A5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EEF 5 a Day </w:t>
            </w:r>
          </w:p>
          <w:p w14:paraId="4CB76E95" w14:textId="06AEE105" w:rsidR="008A5A39" w:rsidRDefault="008A5A39">
            <w:pPr>
              <w:pStyle w:val="TableRowCentered"/>
              <w:jc w:val="left"/>
              <w:rPr>
                <w:sz w:val="22"/>
              </w:rPr>
            </w:pPr>
            <w:hyperlink r:id="rId11" w:history="1">
              <w:r w:rsidRPr="00917235">
                <w:rPr>
                  <w:rStyle w:val="Hyperlink"/>
                  <w:sz w:val="22"/>
                </w:rPr>
                <w:t>https://educationendowmentfoundation.org.uk/news/eef-blog-the-five-a-day-approach-how-the-eef-can-support</w:t>
              </w:r>
            </w:hyperlink>
          </w:p>
          <w:p w14:paraId="1AF6D12B" w14:textId="77777777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  <w:p w14:paraId="09232381" w14:textId="37F44A15" w:rsidR="008A5A39" w:rsidRDefault="009E026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Getting it right for children with SEND will support all groups</w:t>
            </w:r>
          </w:p>
          <w:p w14:paraId="1B04B87C" w14:textId="40B86494" w:rsidR="008A5A39" w:rsidRDefault="008A5A39">
            <w:pPr>
              <w:pStyle w:val="TableRowCentered"/>
              <w:jc w:val="left"/>
              <w:rPr>
                <w:sz w:val="22"/>
              </w:rPr>
            </w:pPr>
            <w:hyperlink r:id="rId12" w:history="1">
              <w:r w:rsidRPr="00917235">
                <w:rPr>
                  <w:rStyle w:val="Hyperlink"/>
                  <w:sz w:val="22"/>
                </w:rPr>
                <w:t>https://www.devon.gov.uk/support-schools-settings/ordinarily-available-inclusive-provision/</w:t>
              </w:r>
            </w:hyperlink>
            <w:r>
              <w:rPr>
                <w:sz w:val="22"/>
              </w:rPr>
              <w:t xml:space="preserve"> </w:t>
            </w:r>
          </w:p>
          <w:p w14:paraId="2A7D551B" w14:textId="75A36EC2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45682C55" w:rsidR="00E66558" w:rsidRDefault="001F0561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1, 5</w:t>
            </w:r>
          </w:p>
        </w:tc>
      </w:tr>
      <w:tr w:rsidR="00E66558" w14:paraId="2A7D5521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48696EDB" w:rsidR="00E66558" w:rsidRDefault="00F67133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To develop high quality teaching and use of assessment that responds to the needs of all pupils, including those in receipt of PPG. This includes quality support from </w:t>
            </w:r>
            <w:r w:rsidR="00D71EBD">
              <w:rPr>
                <w:i/>
                <w:sz w:val="22"/>
              </w:rPr>
              <w:t xml:space="preserve">the Directors of School Improvement, </w:t>
            </w:r>
            <w:r>
              <w:rPr>
                <w:i/>
                <w:sz w:val="22"/>
              </w:rPr>
              <w:t xml:space="preserve">Trust improvement team, especially Early </w:t>
            </w:r>
            <w:r w:rsidR="00D71EBD">
              <w:rPr>
                <w:i/>
                <w:sz w:val="22"/>
              </w:rPr>
              <w:t xml:space="preserve">Years, </w:t>
            </w:r>
            <w:r>
              <w:rPr>
                <w:i/>
                <w:sz w:val="22"/>
              </w:rPr>
              <w:t>English and Maths leads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C86F" w14:textId="77777777" w:rsidR="00E66558" w:rsidRDefault="008F3A5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A systematic phonic approach has a strong evidence base that indicates a positive impact on the accuracy of word reading, particularly for disadvantaged pupils</w:t>
            </w:r>
          </w:p>
          <w:p w14:paraId="1E53236E" w14:textId="77777777" w:rsidR="008A5A39" w:rsidRDefault="008A5A39">
            <w:pPr>
              <w:pStyle w:val="TableRowCentered"/>
              <w:jc w:val="left"/>
              <w:rPr>
                <w:sz w:val="22"/>
              </w:rPr>
            </w:pPr>
            <w:hyperlink r:id="rId13" w:history="1">
              <w:r w:rsidRPr="00917235">
                <w:rPr>
                  <w:rStyle w:val="Hyperlink"/>
                  <w:sz w:val="22"/>
                </w:rPr>
                <w:t>https://educationendowmentfoundation.org.uk/education-evidence/teaching-learning-toolkit/phonics</w:t>
              </w:r>
            </w:hyperlink>
            <w:r>
              <w:rPr>
                <w:sz w:val="22"/>
              </w:rPr>
              <w:t xml:space="preserve"> </w:t>
            </w:r>
          </w:p>
          <w:p w14:paraId="03692ADF" w14:textId="77777777" w:rsidR="00D71EBD" w:rsidRDefault="00D71EBD">
            <w:pPr>
              <w:pStyle w:val="TableRowCentered"/>
              <w:jc w:val="left"/>
              <w:rPr>
                <w:sz w:val="22"/>
              </w:rPr>
            </w:pPr>
          </w:p>
          <w:p w14:paraId="7A41B494" w14:textId="678D388E" w:rsidR="00D71EBD" w:rsidRDefault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Leaders need a secure understanding of, and to use appropriate evidence of disadvantaged pupils’ needs and how to support them to make progress (Ofsted 2025) </w:t>
            </w:r>
          </w:p>
          <w:p w14:paraId="1A4A4045" w14:textId="77777777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  <w:p w14:paraId="2A7D551F" w14:textId="2F71B47F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3AD73FD7" w:rsidR="00E66558" w:rsidRDefault="009677D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1, 3</w:t>
            </w:r>
          </w:p>
        </w:tc>
      </w:tr>
      <w:tr w:rsidR="009677DE" w14:paraId="0F00F5A7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6803" w14:textId="72F9748F" w:rsidR="009677DE" w:rsidRDefault="009677DE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>Trust attendance leads to support schools in identifying trends in attendance and persistent absenteeism, with a sharp focus on those in receipt of the PPG.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68E1" w14:textId="079A7D6F" w:rsidR="009677DE" w:rsidRDefault="002F5BB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A Trust wide approach to identifying trends in attendance and ways of working with parents to improve where necessary. Our aim is to be in line with DfE expectations of 96%. </w:t>
            </w:r>
          </w:p>
          <w:p w14:paraId="0C131FDF" w14:textId="2A05E037" w:rsidR="002F5BBE" w:rsidRDefault="002F5BBE">
            <w:pPr>
              <w:pStyle w:val="TableRowCentered"/>
              <w:jc w:val="left"/>
              <w:rPr>
                <w:sz w:val="22"/>
              </w:rPr>
            </w:pPr>
            <w:hyperlink r:id="rId14" w:anchor=":~:text=Using%20evidence%20to%20inform%20action&amp;text=One%20way%20that%20schools%20can,encourages%20parents%20to%20support%20attendance" w:history="1">
              <w:r w:rsidRPr="00917235">
                <w:rPr>
                  <w:rStyle w:val="Hyperlink"/>
                  <w:sz w:val="22"/>
                </w:rPr>
                <w:t>https://educationendowmentfoundation.org.uk/news/taking-a-tailored-approach-to-improving-attendance#:~:text=Using%20evidence%20to%20inform%20action&amp;text=One%20way%20that%20schools%20can,encourages%20parents%20to%20support%20attendance</w:t>
              </w:r>
            </w:hyperlink>
            <w:r w:rsidRPr="002F5BBE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6D53" w14:textId="66F975AD" w:rsidR="009677DE" w:rsidRDefault="009677D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2A7D5522" w14:textId="77777777" w:rsidR="00E66558" w:rsidRDefault="00E66558" w:rsidP="00ED5108"/>
    <w:p w14:paraId="249A436D" w14:textId="781253FE" w:rsidR="00E03418" w:rsidRPr="00E03418" w:rsidRDefault="00E03418" w:rsidP="00E03418">
      <w:pPr>
        <w:rPr>
          <w:b/>
          <w:bCs/>
          <w:color w:val="1F497D" w:themeColor="text2"/>
          <w:sz w:val="28"/>
          <w:szCs w:val="28"/>
        </w:rPr>
      </w:pPr>
      <w:r w:rsidRPr="00E03418">
        <w:rPr>
          <w:b/>
          <w:bCs/>
          <w:color w:val="1F497D" w:themeColor="text2"/>
          <w:sz w:val="28"/>
          <w:szCs w:val="28"/>
        </w:rPr>
        <w:t>Intended outcomes 2025-2026</w:t>
      </w:r>
    </w:p>
    <w:p w14:paraId="49DCF12A" w14:textId="4D1973EE" w:rsidR="00E03418" w:rsidRDefault="00E03418" w:rsidP="00E03418">
      <w:r>
        <w:t>This outlines the outcomes we are aiming for by the end of our current strategy plan, and how we will measure whether they have been achieved.</w:t>
      </w:r>
    </w:p>
    <w:p w14:paraId="2A7D5523" w14:textId="48FBF951" w:rsidR="00E66558" w:rsidRPr="00AA355B" w:rsidRDefault="009D71E8" w:rsidP="00AA355B">
      <w:pPr>
        <w:pStyle w:val="Heading3"/>
      </w:pPr>
      <w:r>
        <w:t xml:space="preserve">Targeted academic support </w:t>
      </w:r>
    </w:p>
    <w:p w14:paraId="409E04B3" w14:textId="3DE0DF46" w:rsidR="00831410" w:rsidRPr="00D71EBD" w:rsidRDefault="009D71E8">
      <w:r w:rsidRPr="00D71EBD">
        <w:rPr>
          <w:b/>
          <w:bCs/>
        </w:rPr>
        <w:t xml:space="preserve">Budgeted cost: </w:t>
      </w:r>
      <w:r w:rsidR="007D4AF6" w:rsidRPr="00D71EBD">
        <w:rPr>
          <w:b/>
          <w:bCs/>
        </w:rPr>
        <w:t>£2</w:t>
      </w:r>
      <w:r w:rsidR="00D71EBD">
        <w:rPr>
          <w:b/>
          <w:bCs/>
        </w:rPr>
        <w:t>5</w:t>
      </w:r>
      <w:r w:rsidR="007D4AF6" w:rsidRPr="00D71EBD">
        <w:rPr>
          <w:b/>
          <w:bCs/>
        </w:rPr>
        <w:t>0,</w:t>
      </w:r>
      <w:r w:rsidR="00D71EBD">
        <w:rPr>
          <w:b/>
          <w:bCs/>
        </w:rPr>
        <w:t>104</w:t>
      </w:r>
      <w:r w:rsidR="007D4AF6">
        <w:t xml:space="preserve">. The budget for this targeted support sits within the </w:t>
      </w:r>
      <w:r w:rsidR="00D71EBD">
        <w:t xml:space="preserve">staffing </w:t>
      </w:r>
      <w:r w:rsidR="007D4AF6">
        <w:t>budget</w:t>
      </w:r>
      <w:r w:rsidR="00D71EBD">
        <w:t>, attendance team</w:t>
      </w:r>
      <w:r w:rsidR="007D4AF6">
        <w:t xml:space="preserve"> </w:t>
      </w:r>
      <w:r w:rsidR="00D71EBD">
        <w:t xml:space="preserve">and that </w:t>
      </w:r>
      <w:r w:rsidR="007D4AF6">
        <w:t xml:space="preserve">for the Improvement and Inclusion Hub. This includes SENDCo </w:t>
      </w:r>
      <w:r w:rsidR="00D71EBD">
        <w:t xml:space="preserve">allocation, </w:t>
      </w:r>
      <w:r w:rsidR="007D4AF6">
        <w:t>training and support, multi-agency team (MAST) support and assessments</w:t>
      </w:r>
      <w:r w:rsidR="00D71EBD">
        <w:t xml:space="preserve"> and </w:t>
      </w:r>
      <w:r w:rsidR="007D4AF6" w:rsidRPr="007D4AF6">
        <w:t>CPD</w:t>
      </w:r>
      <w:r w:rsidR="00D71EBD">
        <w:rPr>
          <w:i/>
          <w:iCs/>
        </w:rPr>
        <w:t>.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5871"/>
        <w:gridCol w:w="1638"/>
      </w:tblGrid>
      <w:tr w:rsidR="00E66558" w14:paraId="2A7D5528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7BF44520" w:rsidR="00E66558" w:rsidRDefault="008A5A39">
            <w:pPr>
              <w:pStyle w:val="TableRow"/>
            </w:pPr>
            <w:r w:rsidRPr="007D4AF6">
              <w:rPr>
                <w:sz w:val="22"/>
                <w:szCs w:val="22"/>
              </w:rPr>
              <w:t xml:space="preserve">To </w:t>
            </w:r>
            <w:r w:rsidR="00D71EBD">
              <w:rPr>
                <w:sz w:val="22"/>
                <w:szCs w:val="22"/>
              </w:rPr>
              <w:t xml:space="preserve">introduce </w:t>
            </w:r>
            <w:proofErr w:type="spellStart"/>
            <w:r w:rsidR="00D71EBD">
              <w:rPr>
                <w:sz w:val="22"/>
                <w:szCs w:val="22"/>
              </w:rPr>
              <w:t>Wellcomm</w:t>
            </w:r>
            <w:proofErr w:type="spellEnd"/>
            <w:r w:rsidR="00D71EBD">
              <w:rPr>
                <w:sz w:val="22"/>
                <w:szCs w:val="22"/>
              </w:rPr>
              <w:t xml:space="preserve"> as a language screener from </w:t>
            </w:r>
            <w:r w:rsidR="00D71EBD">
              <w:rPr>
                <w:sz w:val="22"/>
                <w:szCs w:val="22"/>
              </w:rPr>
              <w:lastRenderedPageBreak/>
              <w:t xml:space="preserve">ages 2 to 11 </w:t>
            </w:r>
            <w:r w:rsidRPr="007D4AF6">
              <w:rPr>
                <w:sz w:val="22"/>
                <w:szCs w:val="22"/>
              </w:rPr>
              <w:t>so that we can screen children to identify levels of need in SLCN and plan relevant interventions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6502" w14:textId="0B857FF6" w:rsidR="008A5A39" w:rsidRDefault="008A5A39" w:rsidP="008A5A39">
            <w:pPr>
              <w:pStyle w:val="TableRowCentered"/>
              <w:ind w:left="0"/>
              <w:jc w:val="left"/>
              <w:rPr>
                <w:sz w:val="22"/>
              </w:rPr>
            </w:pPr>
            <w:r w:rsidRPr="008A5A39">
              <w:rPr>
                <w:sz w:val="22"/>
              </w:rPr>
              <w:lastRenderedPageBreak/>
              <w:t xml:space="preserve">Positive effects have been identified on early language and literacy skills. When selecting </w:t>
            </w:r>
            <w:r w:rsidR="00EF502D" w:rsidRPr="008A5A39">
              <w:rPr>
                <w:sz w:val="22"/>
              </w:rPr>
              <w:t>strategies,</w:t>
            </w:r>
            <w:r w:rsidRPr="008A5A39">
              <w:rPr>
                <w:sz w:val="22"/>
              </w:rPr>
              <w:t xml:space="preserve"> it is important to consider outcomes.</w:t>
            </w:r>
          </w:p>
          <w:p w14:paraId="0FCAE117" w14:textId="2004B551" w:rsidR="008A5A39" w:rsidRDefault="008A5A39" w:rsidP="008A5A39">
            <w:pPr>
              <w:pStyle w:val="TableRowCentered"/>
              <w:ind w:left="0"/>
              <w:jc w:val="left"/>
              <w:rPr>
                <w:sz w:val="22"/>
              </w:rPr>
            </w:pPr>
            <w:hyperlink r:id="rId15" w:history="1">
              <w:r w:rsidRPr="00917235">
                <w:rPr>
                  <w:rStyle w:val="Hyperlink"/>
                  <w:sz w:val="22"/>
                </w:rPr>
                <w:t>https://educationendowmentfoundation.org.uk/education-evidence/early-years-toolkit/communication-and-language-approaches</w:t>
              </w:r>
            </w:hyperlink>
          </w:p>
          <w:p w14:paraId="2A7D552A" w14:textId="6CFC4DF1" w:rsidR="008A5A39" w:rsidRDefault="008A5A39" w:rsidP="008A5A39">
            <w:pPr>
              <w:pStyle w:val="TableRowCentered"/>
              <w:ind w:left="0"/>
              <w:jc w:val="left"/>
              <w:rPr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5012C473" w:rsidR="00E66558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1, 3</w:t>
            </w:r>
          </w:p>
        </w:tc>
      </w:tr>
      <w:tr w:rsidR="00E66558" w14:paraId="2A7D5530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75C775D9" w:rsidR="00E66558" w:rsidRPr="00EF502D" w:rsidRDefault="00EF502D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Upskills teachers and TAs through CPD so that they can deliver </w:t>
            </w:r>
            <w:r w:rsidR="007D4AF6">
              <w:rPr>
                <w:iCs/>
                <w:sz w:val="22"/>
              </w:rPr>
              <w:t xml:space="preserve">ordinarily available inclusive provision and </w:t>
            </w:r>
            <w:r>
              <w:rPr>
                <w:iCs/>
                <w:sz w:val="22"/>
              </w:rPr>
              <w:t>adaptive teaching alongside high quality, structured interventions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F9D2" w14:textId="3F6E8DA3" w:rsidR="00E66558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Targeted deployment has a greater impact on outcomes than ‘general’ support. We aim to keep interventions linked to SMART targets and to minimise the amount of lesson time pupils miss</w:t>
            </w:r>
          </w:p>
          <w:p w14:paraId="6C55E810" w14:textId="76E2656E" w:rsidR="007D4AF6" w:rsidRDefault="00DE4554" w:rsidP="00D71EBD">
            <w:pPr>
              <w:pStyle w:val="TableRowCentered"/>
              <w:jc w:val="left"/>
              <w:rPr>
                <w:sz w:val="22"/>
              </w:rPr>
            </w:pPr>
            <w:hyperlink r:id="rId16" w:history="1">
              <w:r w:rsidRPr="00917235">
                <w:rPr>
                  <w:rStyle w:val="Hyperlink"/>
                  <w:sz w:val="22"/>
                </w:rPr>
                <w:t>https://educationendowmentfoundation.org.uk/education-evidence/teaching-learning-toolkit/teaching-assistant-interventions</w:t>
              </w:r>
            </w:hyperlink>
            <w:r>
              <w:rPr>
                <w:sz w:val="22"/>
              </w:rPr>
              <w:t xml:space="preserve"> </w:t>
            </w:r>
          </w:p>
          <w:p w14:paraId="51759C39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As a Trust we deliver CPD and support for the Relational Approach as we know that this is evidence based and works for all children.</w:t>
            </w:r>
          </w:p>
          <w:p w14:paraId="08E01B70" w14:textId="6AB3BFC8" w:rsidR="007D4AF6" w:rsidRPr="007D4AF6" w:rsidRDefault="007D4AF6" w:rsidP="007D4AF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There are </w:t>
            </w:r>
            <w:r w:rsidRPr="007D4AF6">
              <w:rPr>
                <w:sz w:val="22"/>
              </w:rPr>
              <w:t xml:space="preserve">clear links between attendance, attainment and behaviour, and in the context of increased levels of absence since the COVID-19 pandemic, attendance is a challenge and priority </w:t>
            </w:r>
            <w:r w:rsidR="00D71EBD">
              <w:rPr>
                <w:sz w:val="22"/>
              </w:rPr>
              <w:t xml:space="preserve">nationally </w:t>
            </w:r>
            <w:r w:rsidRPr="007D4AF6">
              <w:rPr>
                <w:sz w:val="22"/>
              </w:rPr>
              <w:t>for schools.</w:t>
            </w:r>
          </w:p>
          <w:p w14:paraId="2A7D552E" w14:textId="03F091A4" w:rsidR="007D4AF6" w:rsidRDefault="007D4AF6" w:rsidP="007D4AF6">
            <w:pPr>
              <w:pStyle w:val="TableRowCentered"/>
              <w:ind w:left="0"/>
              <w:jc w:val="left"/>
              <w:rPr>
                <w:sz w:val="22"/>
              </w:rPr>
            </w:pPr>
            <w:r w:rsidRPr="007D4AF6">
              <w:rPr>
                <w:sz w:val="22"/>
              </w:rPr>
              <w:t xml:space="preserve">Improving attendance </w:t>
            </w:r>
            <w:r w:rsidR="00D71EBD">
              <w:rPr>
                <w:sz w:val="22"/>
              </w:rPr>
              <w:t>requires</w:t>
            </w:r>
            <w:r w:rsidRPr="007D4AF6">
              <w:rPr>
                <w:sz w:val="22"/>
              </w:rPr>
              <w:t xml:space="preserve"> different approaches in different contexts</w:t>
            </w:r>
            <w:r>
              <w:rPr>
                <w:sz w:val="22"/>
              </w:rPr>
              <w:t xml:space="preserve"> and our schools are very aware of the contexts and restraints they work within</w:t>
            </w:r>
            <w:r w:rsidR="00D71EBD">
              <w:rPr>
                <w:sz w:val="22"/>
              </w:rPr>
              <w:t xml:space="preserve"> and can seek support from the attendance team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3689071E" w:rsidR="00E66558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1, 5</w:t>
            </w:r>
          </w:p>
        </w:tc>
      </w:tr>
      <w:tr w:rsidR="007D4AF6" w14:paraId="0CF98AD1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93D1" w14:textId="10001F4B" w:rsidR="007D4AF6" w:rsidRDefault="007D4AF6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>Specialist intervention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7385" w14:textId="69B52F36" w:rsidR="007D4AF6" w:rsidRDefault="007D4AF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Specialist support for children at risk of exclusion or emotional based school avoidance. This includes support from </w:t>
            </w:r>
            <w:r w:rsidR="00D71EBD">
              <w:rPr>
                <w:sz w:val="22"/>
              </w:rPr>
              <w:t>the improvement team</w:t>
            </w:r>
            <w:r>
              <w:rPr>
                <w:sz w:val="22"/>
              </w:rPr>
              <w:t xml:space="preserve">, risk of exclusion panel, MAST team support and </w:t>
            </w:r>
            <w:r w:rsidR="00D71EBD">
              <w:rPr>
                <w:sz w:val="22"/>
              </w:rPr>
              <w:t xml:space="preserve">support to apply for </w:t>
            </w:r>
            <w:r>
              <w:rPr>
                <w:sz w:val="22"/>
              </w:rPr>
              <w:t xml:space="preserve">additional funding for children with complex and challenging needs. </w:t>
            </w:r>
          </w:p>
          <w:p w14:paraId="5CBB78B0" w14:textId="3F2B5AB5" w:rsidR="007D4AF6" w:rsidRDefault="007D4AF6">
            <w:pPr>
              <w:pStyle w:val="TableRowCentered"/>
              <w:jc w:val="left"/>
              <w:rPr>
                <w:sz w:val="22"/>
              </w:rPr>
            </w:pPr>
            <w:hyperlink r:id="rId17" w:history="1">
              <w:r w:rsidRPr="00DA024F">
                <w:rPr>
                  <w:rStyle w:val="Hyperlink"/>
                  <w:sz w:val="22"/>
                </w:rPr>
                <w:t>https://educationendowmentfoundation.org.uk/education-evidence/leadership-and-planning/supporting-attendance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E7E2" w14:textId="378F3797" w:rsidR="007D4AF6" w:rsidRDefault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71EBD" w14:paraId="3C2F9EFA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2054" w14:textId="02CD2FE0" w:rsidR="00D71EBD" w:rsidRDefault="00D71EBD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>Investment in quality Early Years provision to raise standards for our youngest children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DA37" w14:textId="143EAAE3" w:rsidR="00D71EBD" w:rsidRDefault="00D71EBD" w:rsidP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Trust wide CPD input. EY team with regular meetings, support visits and identifying expertise in the Trust. Includes a focus on disadvantage, high quality interactions and closing gaps in early reading, phonics and maths. </w:t>
            </w:r>
          </w:p>
          <w:p w14:paraId="45D41504" w14:textId="77777777" w:rsidR="00D71EBD" w:rsidRDefault="00D71EBD">
            <w:pPr>
              <w:pStyle w:val="TableRowCentered"/>
              <w:jc w:val="left"/>
              <w:rPr>
                <w:sz w:val="22"/>
              </w:rPr>
            </w:pPr>
          </w:p>
          <w:p w14:paraId="6037958B" w14:textId="77777777" w:rsidR="00D71EBD" w:rsidRDefault="00D71EBD">
            <w:pPr>
              <w:pStyle w:val="TableRowCentered"/>
              <w:jc w:val="left"/>
              <w:rPr>
                <w:sz w:val="22"/>
              </w:rPr>
            </w:pPr>
            <w:hyperlink r:id="rId18" w:history="1">
              <w:r w:rsidRPr="00D71EBD">
                <w:rPr>
                  <w:rStyle w:val="Hyperlink"/>
                  <w:sz w:val="22"/>
                </w:rPr>
                <w:t>EEF Early Years toolkit</w:t>
              </w:r>
            </w:hyperlink>
          </w:p>
          <w:p w14:paraId="515F0B1C" w14:textId="63D5ADCE" w:rsidR="00D71EBD" w:rsidRDefault="00D71EBD">
            <w:pPr>
              <w:pStyle w:val="TableRowCentered"/>
              <w:jc w:val="left"/>
              <w:rPr>
                <w:sz w:val="22"/>
              </w:rPr>
            </w:pPr>
            <w:hyperlink r:id="rId19" w:history="1">
              <w:r w:rsidRPr="00D71EBD">
                <w:rPr>
                  <w:rStyle w:val="Hyperlink"/>
                  <w:sz w:val="22"/>
                </w:rPr>
                <w:t>Strong Foundations report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0DC8" w14:textId="4C3F6840" w:rsidR="00D71EBD" w:rsidRDefault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4D6FC058" w14:textId="1224AA54" w:rsidR="00FE0AE1" w:rsidRPr="0059453D" w:rsidRDefault="007D4AF6">
      <w:pPr>
        <w:spacing w:before="240" w:after="120"/>
      </w:pPr>
      <w:r w:rsidRPr="00D71EBD">
        <w:t xml:space="preserve">School Budget: </w:t>
      </w:r>
      <w:r w:rsidR="00D71EBD" w:rsidRPr="00D71EBD">
        <w:t>£</w:t>
      </w:r>
      <w:r w:rsidR="0059453D">
        <w:t>4800</w:t>
      </w:r>
    </w:p>
    <w:p w14:paraId="1DA6A99B" w14:textId="77777777" w:rsidR="00B24F04" w:rsidRDefault="00B24F04">
      <w:pPr>
        <w:spacing w:before="240" w:after="12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7"/>
        <w:gridCol w:w="5871"/>
        <w:gridCol w:w="1768"/>
      </w:tblGrid>
      <w:tr w:rsidR="00E66558" w14:paraId="2A7D5537" w14:textId="77777777" w:rsidTr="007D4AF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lastRenderedPageBreak/>
              <w:t>Activity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007D4AF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AD40" w14:textId="3C700102" w:rsidR="009D046A" w:rsidRDefault="00D71EBD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addition to the above,</w:t>
            </w:r>
          </w:p>
          <w:p w14:paraId="6F246D7A" w14:textId="77777777" w:rsidR="00D71EBD" w:rsidRDefault="00D71EBD">
            <w:pPr>
              <w:pStyle w:val="TableRow"/>
              <w:rPr>
                <w:sz w:val="22"/>
                <w:szCs w:val="22"/>
              </w:rPr>
            </w:pPr>
          </w:p>
          <w:p w14:paraId="56094BF3" w14:textId="35F76683" w:rsidR="009D046A" w:rsidRDefault="009D046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PE team offers opportunities for all children to be successful in sports. </w:t>
            </w:r>
          </w:p>
          <w:p w14:paraId="2AF644DB" w14:textId="77777777" w:rsidR="009D046A" w:rsidRDefault="009D046A">
            <w:pPr>
              <w:pStyle w:val="TableRow"/>
              <w:rPr>
                <w:sz w:val="22"/>
                <w:szCs w:val="22"/>
              </w:rPr>
            </w:pPr>
          </w:p>
          <w:p w14:paraId="2A7D5538" w14:textId="3BBFCCA2" w:rsidR="009D046A" w:rsidRPr="00831410" w:rsidRDefault="009D046A">
            <w:pPr>
              <w:pStyle w:val="TableRow"/>
            </w:pPr>
            <w:r>
              <w:rPr>
                <w:sz w:val="22"/>
                <w:szCs w:val="22"/>
              </w:rPr>
              <w:t xml:space="preserve">Schools all have a USP that ensures enrichment activities and celebration of all children, not just academic attainment. 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4F02" w14:textId="77777777" w:rsidR="00E66558" w:rsidRDefault="00DE4554">
            <w:pPr>
              <w:pStyle w:val="TableRowCentered"/>
              <w:jc w:val="left"/>
              <w:rPr>
                <w:sz w:val="22"/>
              </w:rPr>
            </w:pPr>
            <w:hyperlink r:id="rId20" w:history="1">
              <w:r w:rsidRPr="00917235">
                <w:rPr>
                  <w:rStyle w:val="Hyperlink"/>
                  <w:sz w:val="22"/>
                </w:rPr>
                <w:t>https://educationendowmentfoundation.org.uk/support-for-schools/school-planning-support/3-wider-strategies</w:t>
              </w:r>
            </w:hyperlink>
            <w:r>
              <w:rPr>
                <w:sz w:val="22"/>
              </w:rPr>
              <w:t xml:space="preserve"> </w:t>
            </w:r>
          </w:p>
          <w:p w14:paraId="6E631155" w14:textId="77777777" w:rsidR="00DE4554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Ensure timely support around transitions</w:t>
            </w:r>
          </w:p>
          <w:p w14:paraId="3F4C4D29" w14:textId="77777777" w:rsidR="00DE4554" w:rsidRDefault="00DE4554">
            <w:pPr>
              <w:pStyle w:val="TableRowCentered"/>
              <w:jc w:val="left"/>
              <w:rPr>
                <w:sz w:val="22"/>
              </w:rPr>
            </w:pPr>
          </w:p>
          <w:p w14:paraId="3DE394B4" w14:textId="1DB166A2" w:rsidR="00DE4554" w:rsidRDefault="00DE4554">
            <w:pPr>
              <w:pStyle w:val="TableRowCentered"/>
              <w:jc w:val="left"/>
              <w:rPr>
                <w:sz w:val="22"/>
              </w:rPr>
            </w:pPr>
            <w:hyperlink r:id="rId21" w:history="1">
              <w:r w:rsidRPr="00917235">
                <w:rPr>
                  <w:rStyle w:val="Hyperlink"/>
                  <w:sz w:val="22"/>
                </w:rPr>
                <w:t>https://educationendowmentfoundation.org.uk/education-evidence/teaching-learning-toolkit/social-and-emotional-learning</w:t>
              </w:r>
            </w:hyperlink>
          </w:p>
          <w:p w14:paraId="0976CB56" w14:textId="77777777" w:rsidR="00DE4554" w:rsidRDefault="00DE4554" w:rsidP="00DE4554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6D2B954A" w14:textId="5019F4D1" w:rsidR="00DE4554" w:rsidRPr="00DE4554" w:rsidRDefault="00DE4554" w:rsidP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We deliver: </w:t>
            </w:r>
            <w:r w:rsidRPr="00DE4554">
              <w:rPr>
                <w:sz w:val="22"/>
              </w:rPr>
              <w:t xml:space="preserve">School-level approaches to developing a positive school ethos, which also aim to support greater engagement in </w:t>
            </w:r>
            <w:proofErr w:type="gramStart"/>
            <w:r w:rsidRPr="00DE4554">
              <w:rPr>
                <w:sz w:val="22"/>
              </w:rPr>
              <w:t>learning</w:t>
            </w:r>
            <w:r w:rsidR="007D4AF6">
              <w:rPr>
                <w:sz w:val="22"/>
              </w:rPr>
              <w:t>;</w:t>
            </w:r>
            <w:proofErr w:type="gramEnd"/>
          </w:p>
          <w:p w14:paraId="3C0B29C6" w14:textId="77777777" w:rsidR="00DE4554" w:rsidRPr="00DE4554" w:rsidRDefault="00DE4554" w:rsidP="00DE4554">
            <w:pPr>
              <w:pStyle w:val="TableRowCentered"/>
              <w:jc w:val="left"/>
              <w:rPr>
                <w:sz w:val="22"/>
              </w:rPr>
            </w:pPr>
            <w:r w:rsidRPr="00DE4554">
              <w:rPr>
                <w:sz w:val="22"/>
              </w:rPr>
              <w:t>Universal programmes which generally take place in the classroom with the whole class; and</w:t>
            </w:r>
          </w:p>
          <w:p w14:paraId="44DE1BC4" w14:textId="0D19AF43" w:rsidR="007D4AF6" w:rsidRDefault="00D71EBD" w:rsidP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PSHE curriculum</w:t>
            </w:r>
            <w:r w:rsidR="00DE4554" w:rsidRPr="00DE4554">
              <w:rPr>
                <w:sz w:val="22"/>
              </w:rPr>
              <w:t xml:space="preserve"> which use elements of S</w:t>
            </w:r>
            <w:r>
              <w:rPr>
                <w:sz w:val="22"/>
              </w:rPr>
              <w:t>ocial &amp; emotional</w:t>
            </w:r>
            <w:r w:rsidR="00DE4554" w:rsidRPr="00DE455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learning </w:t>
            </w:r>
            <w:r w:rsidR="00DE4554" w:rsidRPr="00DE4554">
              <w:rPr>
                <w:sz w:val="22"/>
              </w:rPr>
              <w:t xml:space="preserve">and targeted at </w:t>
            </w:r>
            <w:r>
              <w:rPr>
                <w:sz w:val="22"/>
              </w:rPr>
              <w:t>pupils</w:t>
            </w:r>
            <w:r w:rsidR="00DE4554" w:rsidRPr="00DE4554">
              <w:rPr>
                <w:sz w:val="22"/>
              </w:rPr>
              <w:t xml:space="preserve"> with particular social or emotional needs</w:t>
            </w:r>
            <w:r w:rsidR="00DE4554">
              <w:rPr>
                <w:sz w:val="22"/>
              </w:rPr>
              <w:t>.</w:t>
            </w:r>
          </w:p>
          <w:p w14:paraId="70B44E14" w14:textId="77777777" w:rsidR="007D4AF6" w:rsidRDefault="007D4AF6" w:rsidP="00DE4554">
            <w:pPr>
              <w:pStyle w:val="TableRowCentered"/>
              <w:jc w:val="left"/>
              <w:rPr>
                <w:sz w:val="22"/>
              </w:rPr>
            </w:pPr>
          </w:p>
          <w:p w14:paraId="2A7D5539" w14:textId="6F19E79E" w:rsidR="007D4AF6" w:rsidRPr="00FC4310" w:rsidRDefault="003C5CE0" w:rsidP="00DE4554">
            <w:pPr>
              <w:pStyle w:val="TableRowCentered"/>
              <w:jc w:val="left"/>
              <w:rPr>
                <w:sz w:val="22"/>
              </w:rPr>
            </w:pPr>
            <w:r w:rsidRPr="00FC4310">
              <w:rPr>
                <w:sz w:val="22"/>
              </w:rPr>
              <w:t>The curriculum is tailored to meet the needs of all children and specific elements are targeted at certain groups.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E7A3" w14:textId="77777777" w:rsidR="00E66558" w:rsidRDefault="0083141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14:paraId="3E819758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AFAE1D2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16159D6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1AB182A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451185E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003B66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0AB5CEA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4CDCE59F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2944C6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0023036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48B6902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172CFAB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746D206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1916FDA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84827D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3D96306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C4BF5BA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B5ADA6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079102A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5CD89E48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2A7D553A" w14:textId="30F4052A" w:rsidR="007D4AF6" w:rsidRDefault="007D4AF6" w:rsidP="007D4AF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1F9EAD5D" w14:textId="61D4A629" w:rsidR="00FE0AE1" w:rsidRDefault="009D71E8" w:rsidP="00120AB1">
      <w:pPr>
        <w:rPr>
          <w:i/>
          <w:i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>Total budgeted cost: £</w:t>
      </w:r>
      <w:r w:rsidR="00D71EBD">
        <w:rPr>
          <w:b/>
          <w:bCs/>
          <w:color w:val="104F75"/>
          <w:sz w:val="28"/>
          <w:szCs w:val="28"/>
        </w:rPr>
        <w:t>471,165</w:t>
      </w:r>
    </w:p>
    <w:p w14:paraId="2A7D5553" w14:textId="193B71B2" w:rsidR="00E66558" w:rsidRDefault="00E66558" w:rsidP="0008384B"/>
    <w:p w14:paraId="188578FB" w14:textId="537EFB51" w:rsidR="0008384B" w:rsidRDefault="0008384B" w:rsidP="0008384B"/>
    <w:p w14:paraId="497C2CDD" w14:textId="3BD1FD57" w:rsidR="0008384B" w:rsidRDefault="0008384B" w:rsidP="0008384B"/>
    <w:p w14:paraId="01F0D165" w14:textId="1FC4C866" w:rsidR="0008384B" w:rsidRDefault="0008384B" w:rsidP="0008384B"/>
    <w:bookmarkEnd w:id="14"/>
    <w:bookmarkEnd w:id="15"/>
    <w:bookmarkEnd w:id="16"/>
    <w:p w14:paraId="2A7D5564" w14:textId="77777777" w:rsidR="00E66558" w:rsidRDefault="00E66558"/>
    <w:sectPr w:rsidR="00E66558">
      <w:headerReference w:type="default" r:id="rId22"/>
      <w:footerReference w:type="default" r:id="rId23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B886" w14:textId="77777777" w:rsidR="00F81FED" w:rsidRDefault="00F81FED">
      <w:pPr>
        <w:spacing w:after="0" w:line="240" w:lineRule="auto"/>
      </w:pPr>
      <w:r>
        <w:separator/>
      </w:r>
    </w:p>
  </w:endnote>
  <w:endnote w:type="continuationSeparator" w:id="0">
    <w:p w14:paraId="56CD993D" w14:textId="77777777" w:rsidR="00F81FED" w:rsidRDefault="00F81FED">
      <w:pPr>
        <w:spacing w:after="0" w:line="240" w:lineRule="auto"/>
      </w:pPr>
      <w:r>
        <w:continuationSeparator/>
      </w:r>
    </w:p>
  </w:endnote>
  <w:endnote w:type="continuationNotice" w:id="1">
    <w:p w14:paraId="500BC28E" w14:textId="77777777" w:rsidR="00F81FED" w:rsidRDefault="00F81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589FDA1F" w:rsidR="00C373EA" w:rsidRDefault="009D71E8" w:rsidP="19B3B174">
    <w:pPr>
      <w:pStyle w:val="TableRow"/>
      <w:ind w:left="0"/>
    </w:pPr>
    <w:r>
      <w:fldChar w:fldCharType="begin"/>
    </w:r>
    <w:r>
      <w:instrText xml:space="preserve"> PAGE </w:instrText>
    </w:r>
    <w:r>
      <w:fldChar w:fldCharType="separate"/>
    </w:r>
    <w:r w:rsidR="19B3B174"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A938" w14:textId="77777777" w:rsidR="00F81FED" w:rsidRDefault="00F81FED">
      <w:pPr>
        <w:spacing w:after="0" w:line="240" w:lineRule="auto"/>
      </w:pPr>
      <w:r>
        <w:separator/>
      </w:r>
    </w:p>
  </w:footnote>
  <w:footnote w:type="continuationSeparator" w:id="0">
    <w:p w14:paraId="7CE6C50E" w14:textId="77777777" w:rsidR="00F81FED" w:rsidRDefault="00F81FED">
      <w:pPr>
        <w:spacing w:after="0" w:line="240" w:lineRule="auto"/>
      </w:pPr>
      <w:r>
        <w:continuationSeparator/>
      </w:r>
    </w:p>
  </w:footnote>
  <w:footnote w:type="continuationNotice" w:id="1">
    <w:p w14:paraId="1A1F3CDF" w14:textId="77777777" w:rsidR="00F81FED" w:rsidRDefault="00F81F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53FBB41D" w:rsidR="00C373EA" w:rsidRDefault="00C373EA" w:rsidP="19B3B174">
    <w:pPr>
      <w:pStyle w:val="TableRo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22A"/>
    <w:multiLevelType w:val="hybridMultilevel"/>
    <w:tmpl w:val="51163CA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A013E2"/>
    <w:multiLevelType w:val="hybridMultilevel"/>
    <w:tmpl w:val="385C689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8B0303"/>
    <w:multiLevelType w:val="hybridMultilevel"/>
    <w:tmpl w:val="C80CF5E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6" w15:restartNumberingAfterBreak="0">
    <w:nsid w:val="22EB5BF3"/>
    <w:multiLevelType w:val="hybridMultilevel"/>
    <w:tmpl w:val="963ADC04"/>
    <w:lvl w:ilvl="0" w:tplc="B420C9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28D0"/>
    <w:multiLevelType w:val="hybridMultilevel"/>
    <w:tmpl w:val="D10C3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EFC105E"/>
    <w:multiLevelType w:val="hybridMultilevel"/>
    <w:tmpl w:val="0FE8A95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F2475"/>
    <w:multiLevelType w:val="hybridMultilevel"/>
    <w:tmpl w:val="91C4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04A"/>
    <w:multiLevelType w:val="hybridMultilevel"/>
    <w:tmpl w:val="2620E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68F9707A"/>
    <w:multiLevelType w:val="hybridMultilevel"/>
    <w:tmpl w:val="9A60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0" w15:restartNumberingAfterBreak="0">
    <w:nsid w:val="718436E0"/>
    <w:multiLevelType w:val="hybridMultilevel"/>
    <w:tmpl w:val="EE0E1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2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3B94885"/>
    <w:multiLevelType w:val="hybridMultilevel"/>
    <w:tmpl w:val="A210DC0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711259">
    <w:abstractNumId w:val="8"/>
  </w:num>
  <w:num w:numId="2" w16cid:durableId="1628730595">
    <w:abstractNumId w:val="4"/>
  </w:num>
  <w:num w:numId="3" w16cid:durableId="497188144">
    <w:abstractNumId w:val="9"/>
  </w:num>
  <w:num w:numId="4" w16cid:durableId="1138914232">
    <w:abstractNumId w:val="10"/>
  </w:num>
  <w:num w:numId="5" w16cid:durableId="857932188">
    <w:abstractNumId w:val="2"/>
  </w:num>
  <w:num w:numId="6" w16cid:durableId="798501009">
    <w:abstractNumId w:val="12"/>
  </w:num>
  <w:num w:numId="7" w16cid:durableId="1210847263">
    <w:abstractNumId w:val="17"/>
  </w:num>
  <w:num w:numId="8" w16cid:durableId="982348153">
    <w:abstractNumId w:val="24"/>
  </w:num>
  <w:num w:numId="9" w16cid:durableId="1529290868">
    <w:abstractNumId w:val="21"/>
  </w:num>
  <w:num w:numId="10" w16cid:durableId="1171066271">
    <w:abstractNumId w:val="19"/>
  </w:num>
  <w:num w:numId="11" w16cid:durableId="1453552857">
    <w:abstractNumId w:val="5"/>
  </w:num>
  <w:num w:numId="12" w16cid:durableId="1812097430">
    <w:abstractNumId w:val="22"/>
  </w:num>
  <w:num w:numId="13" w16cid:durableId="42288650">
    <w:abstractNumId w:val="16"/>
  </w:num>
  <w:num w:numId="14" w16cid:durableId="1721712531">
    <w:abstractNumId w:val="13"/>
  </w:num>
  <w:num w:numId="15" w16cid:durableId="139806202">
    <w:abstractNumId w:val="14"/>
  </w:num>
  <w:num w:numId="16" w16cid:durableId="1990010421">
    <w:abstractNumId w:val="18"/>
  </w:num>
  <w:num w:numId="17" w16cid:durableId="1098596284">
    <w:abstractNumId w:val="15"/>
  </w:num>
  <w:num w:numId="18" w16cid:durableId="1419861927">
    <w:abstractNumId w:val="6"/>
  </w:num>
  <w:num w:numId="19" w16cid:durableId="367341841">
    <w:abstractNumId w:val="1"/>
  </w:num>
  <w:num w:numId="20" w16cid:durableId="1903560327">
    <w:abstractNumId w:val="7"/>
  </w:num>
  <w:num w:numId="21" w16cid:durableId="19744755">
    <w:abstractNumId w:val="20"/>
  </w:num>
  <w:num w:numId="22" w16cid:durableId="180972887">
    <w:abstractNumId w:val="23"/>
  </w:num>
  <w:num w:numId="23" w16cid:durableId="1859616581">
    <w:abstractNumId w:val="11"/>
  </w:num>
  <w:num w:numId="24" w16cid:durableId="1195997005">
    <w:abstractNumId w:val="3"/>
  </w:num>
  <w:num w:numId="25" w16cid:durableId="22788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11535"/>
    <w:rsid w:val="00013388"/>
    <w:rsid w:val="00023729"/>
    <w:rsid w:val="000243B4"/>
    <w:rsid w:val="0002530E"/>
    <w:rsid w:val="00026AA4"/>
    <w:rsid w:val="0002710D"/>
    <w:rsid w:val="00036678"/>
    <w:rsid w:val="000452EB"/>
    <w:rsid w:val="00045603"/>
    <w:rsid w:val="000463AE"/>
    <w:rsid w:val="000507A3"/>
    <w:rsid w:val="00051900"/>
    <w:rsid w:val="00060A62"/>
    <w:rsid w:val="00064366"/>
    <w:rsid w:val="00066B73"/>
    <w:rsid w:val="00071481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D22B0"/>
    <w:rsid w:val="000D35C9"/>
    <w:rsid w:val="000D520C"/>
    <w:rsid w:val="000D6596"/>
    <w:rsid w:val="000D6779"/>
    <w:rsid w:val="000E6DF0"/>
    <w:rsid w:val="001037CB"/>
    <w:rsid w:val="0010629E"/>
    <w:rsid w:val="0011423B"/>
    <w:rsid w:val="00114288"/>
    <w:rsid w:val="00115538"/>
    <w:rsid w:val="00115E23"/>
    <w:rsid w:val="00116FA8"/>
    <w:rsid w:val="0012014F"/>
    <w:rsid w:val="00120AB1"/>
    <w:rsid w:val="00123A7F"/>
    <w:rsid w:val="001278D0"/>
    <w:rsid w:val="00127F72"/>
    <w:rsid w:val="00137025"/>
    <w:rsid w:val="00140646"/>
    <w:rsid w:val="00147A4B"/>
    <w:rsid w:val="00152554"/>
    <w:rsid w:val="00155944"/>
    <w:rsid w:val="001559D7"/>
    <w:rsid w:val="001614B7"/>
    <w:rsid w:val="00161A5E"/>
    <w:rsid w:val="0016523C"/>
    <w:rsid w:val="001671ED"/>
    <w:rsid w:val="00170714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3F5A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A70B5"/>
    <w:rsid w:val="001C1C51"/>
    <w:rsid w:val="001D4FC9"/>
    <w:rsid w:val="001E0ECA"/>
    <w:rsid w:val="001E206F"/>
    <w:rsid w:val="001E393D"/>
    <w:rsid w:val="001E5750"/>
    <w:rsid w:val="001E66BA"/>
    <w:rsid w:val="001E6ECD"/>
    <w:rsid w:val="001E7739"/>
    <w:rsid w:val="001F0561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475C6"/>
    <w:rsid w:val="002523E3"/>
    <w:rsid w:val="00252AD6"/>
    <w:rsid w:val="002542CE"/>
    <w:rsid w:val="00257A4E"/>
    <w:rsid w:val="00266FA5"/>
    <w:rsid w:val="00276FBA"/>
    <w:rsid w:val="00277665"/>
    <w:rsid w:val="00282BEC"/>
    <w:rsid w:val="002837AE"/>
    <w:rsid w:val="002920F4"/>
    <w:rsid w:val="002940F3"/>
    <w:rsid w:val="00295842"/>
    <w:rsid w:val="002B3574"/>
    <w:rsid w:val="002B6B74"/>
    <w:rsid w:val="002C1E72"/>
    <w:rsid w:val="002C6AE7"/>
    <w:rsid w:val="002D2D4B"/>
    <w:rsid w:val="002D3805"/>
    <w:rsid w:val="002E09C9"/>
    <w:rsid w:val="002E66AE"/>
    <w:rsid w:val="002E7763"/>
    <w:rsid w:val="002F4C6F"/>
    <w:rsid w:val="002F5011"/>
    <w:rsid w:val="002F5842"/>
    <w:rsid w:val="002F5BBE"/>
    <w:rsid w:val="002F7847"/>
    <w:rsid w:val="00306CB7"/>
    <w:rsid w:val="003111F5"/>
    <w:rsid w:val="00317664"/>
    <w:rsid w:val="00336200"/>
    <w:rsid w:val="00337418"/>
    <w:rsid w:val="00351D83"/>
    <w:rsid w:val="00352197"/>
    <w:rsid w:val="00353E46"/>
    <w:rsid w:val="003576C4"/>
    <w:rsid w:val="0036277A"/>
    <w:rsid w:val="00366AB0"/>
    <w:rsid w:val="003700E8"/>
    <w:rsid w:val="0037437C"/>
    <w:rsid w:val="0038146B"/>
    <w:rsid w:val="0038340F"/>
    <w:rsid w:val="00384457"/>
    <w:rsid w:val="00384F24"/>
    <w:rsid w:val="003A32B2"/>
    <w:rsid w:val="003A3780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5CE0"/>
    <w:rsid w:val="003C7F7B"/>
    <w:rsid w:val="003D0CD6"/>
    <w:rsid w:val="003D2EAA"/>
    <w:rsid w:val="003E054C"/>
    <w:rsid w:val="003E1EC5"/>
    <w:rsid w:val="003E27A0"/>
    <w:rsid w:val="003E3872"/>
    <w:rsid w:val="003F2937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5A89"/>
    <w:rsid w:val="00444499"/>
    <w:rsid w:val="00452267"/>
    <w:rsid w:val="00453307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86664"/>
    <w:rsid w:val="00490408"/>
    <w:rsid w:val="004916EA"/>
    <w:rsid w:val="004A4C45"/>
    <w:rsid w:val="004B0485"/>
    <w:rsid w:val="004B387A"/>
    <w:rsid w:val="004B428E"/>
    <w:rsid w:val="004B4D0A"/>
    <w:rsid w:val="004B4D37"/>
    <w:rsid w:val="004C42F0"/>
    <w:rsid w:val="004D50C8"/>
    <w:rsid w:val="004D6B72"/>
    <w:rsid w:val="004E1D73"/>
    <w:rsid w:val="004E72DD"/>
    <w:rsid w:val="005025FB"/>
    <w:rsid w:val="00503462"/>
    <w:rsid w:val="0051286E"/>
    <w:rsid w:val="00516021"/>
    <w:rsid w:val="00516457"/>
    <w:rsid w:val="00516641"/>
    <w:rsid w:val="0051729F"/>
    <w:rsid w:val="00520A0C"/>
    <w:rsid w:val="00525A84"/>
    <w:rsid w:val="00530E37"/>
    <w:rsid w:val="00535946"/>
    <w:rsid w:val="00541C63"/>
    <w:rsid w:val="00543DD6"/>
    <w:rsid w:val="005452CF"/>
    <w:rsid w:val="005464A1"/>
    <w:rsid w:val="00546AFF"/>
    <w:rsid w:val="00546F12"/>
    <w:rsid w:val="005529D1"/>
    <w:rsid w:val="0055339C"/>
    <w:rsid w:val="005542CC"/>
    <w:rsid w:val="00560424"/>
    <w:rsid w:val="00562B3C"/>
    <w:rsid w:val="00564E40"/>
    <w:rsid w:val="005750E2"/>
    <w:rsid w:val="0058313F"/>
    <w:rsid w:val="00585859"/>
    <w:rsid w:val="00586FBC"/>
    <w:rsid w:val="005879C9"/>
    <w:rsid w:val="0059453D"/>
    <w:rsid w:val="00594CAD"/>
    <w:rsid w:val="005A1D0B"/>
    <w:rsid w:val="005A3C6B"/>
    <w:rsid w:val="005B1EA5"/>
    <w:rsid w:val="005C54A0"/>
    <w:rsid w:val="005D0D15"/>
    <w:rsid w:val="005D7176"/>
    <w:rsid w:val="005E18CB"/>
    <w:rsid w:val="005E1EFB"/>
    <w:rsid w:val="005E1F24"/>
    <w:rsid w:val="005E3667"/>
    <w:rsid w:val="005E73F1"/>
    <w:rsid w:val="005F07EF"/>
    <w:rsid w:val="005F16B6"/>
    <w:rsid w:val="005F5224"/>
    <w:rsid w:val="005F680C"/>
    <w:rsid w:val="00600B2E"/>
    <w:rsid w:val="00601122"/>
    <w:rsid w:val="00606521"/>
    <w:rsid w:val="00607CEB"/>
    <w:rsid w:val="00613299"/>
    <w:rsid w:val="0061762D"/>
    <w:rsid w:val="0062723B"/>
    <w:rsid w:val="006324FC"/>
    <w:rsid w:val="00634238"/>
    <w:rsid w:val="00635FBC"/>
    <w:rsid w:val="00637728"/>
    <w:rsid w:val="0064113A"/>
    <w:rsid w:val="0064167B"/>
    <w:rsid w:val="00644002"/>
    <w:rsid w:val="006458B1"/>
    <w:rsid w:val="00650529"/>
    <w:rsid w:val="00650BAB"/>
    <w:rsid w:val="00651737"/>
    <w:rsid w:val="006652DD"/>
    <w:rsid w:val="006671BF"/>
    <w:rsid w:val="00672A7D"/>
    <w:rsid w:val="00681416"/>
    <w:rsid w:val="00696EF0"/>
    <w:rsid w:val="006A06F5"/>
    <w:rsid w:val="006A0ED2"/>
    <w:rsid w:val="006B0A73"/>
    <w:rsid w:val="006B5A6B"/>
    <w:rsid w:val="006C0F82"/>
    <w:rsid w:val="006C25E8"/>
    <w:rsid w:val="006C332E"/>
    <w:rsid w:val="006C5901"/>
    <w:rsid w:val="006C6C97"/>
    <w:rsid w:val="006D00F1"/>
    <w:rsid w:val="006D377A"/>
    <w:rsid w:val="006D3795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109F6"/>
    <w:rsid w:val="00711BE3"/>
    <w:rsid w:val="00721B51"/>
    <w:rsid w:val="00724FA7"/>
    <w:rsid w:val="00725415"/>
    <w:rsid w:val="00727505"/>
    <w:rsid w:val="00731581"/>
    <w:rsid w:val="0073481D"/>
    <w:rsid w:val="00741B9E"/>
    <w:rsid w:val="00743DAC"/>
    <w:rsid w:val="007455B3"/>
    <w:rsid w:val="007502CD"/>
    <w:rsid w:val="00751031"/>
    <w:rsid w:val="00752AE7"/>
    <w:rsid w:val="00752D3B"/>
    <w:rsid w:val="0075337B"/>
    <w:rsid w:val="00755CD4"/>
    <w:rsid w:val="00757F96"/>
    <w:rsid w:val="007610B5"/>
    <w:rsid w:val="007623CB"/>
    <w:rsid w:val="00762652"/>
    <w:rsid w:val="00764551"/>
    <w:rsid w:val="007677B8"/>
    <w:rsid w:val="00781713"/>
    <w:rsid w:val="00785285"/>
    <w:rsid w:val="0078529D"/>
    <w:rsid w:val="00785E77"/>
    <w:rsid w:val="007865B2"/>
    <w:rsid w:val="00787DC1"/>
    <w:rsid w:val="00794070"/>
    <w:rsid w:val="007A63CA"/>
    <w:rsid w:val="007A713B"/>
    <w:rsid w:val="007A7DA0"/>
    <w:rsid w:val="007B0E18"/>
    <w:rsid w:val="007B64E5"/>
    <w:rsid w:val="007C2F04"/>
    <w:rsid w:val="007D4AF6"/>
    <w:rsid w:val="007D5BCB"/>
    <w:rsid w:val="007E6B4F"/>
    <w:rsid w:val="007F06E5"/>
    <w:rsid w:val="007F12B7"/>
    <w:rsid w:val="007F5B8B"/>
    <w:rsid w:val="00817E9A"/>
    <w:rsid w:val="00827786"/>
    <w:rsid w:val="00827BDA"/>
    <w:rsid w:val="00827CC4"/>
    <w:rsid w:val="00830D57"/>
    <w:rsid w:val="00831410"/>
    <w:rsid w:val="00831F00"/>
    <w:rsid w:val="00850CA0"/>
    <w:rsid w:val="00852A2F"/>
    <w:rsid w:val="00854428"/>
    <w:rsid w:val="008608EE"/>
    <w:rsid w:val="00860B07"/>
    <w:rsid w:val="008616F6"/>
    <w:rsid w:val="0086259C"/>
    <w:rsid w:val="008674ED"/>
    <w:rsid w:val="0087074C"/>
    <w:rsid w:val="00883F24"/>
    <w:rsid w:val="00897E1F"/>
    <w:rsid w:val="008A3E8E"/>
    <w:rsid w:val="008A5A39"/>
    <w:rsid w:val="008B2CB4"/>
    <w:rsid w:val="008B3D82"/>
    <w:rsid w:val="008B5503"/>
    <w:rsid w:val="008B6404"/>
    <w:rsid w:val="008C2C21"/>
    <w:rsid w:val="008C7DD3"/>
    <w:rsid w:val="008E000B"/>
    <w:rsid w:val="008E2926"/>
    <w:rsid w:val="008E35C6"/>
    <w:rsid w:val="008E3F49"/>
    <w:rsid w:val="008E4E2B"/>
    <w:rsid w:val="008E7FBC"/>
    <w:rsid w:val="008F243B"/>
    <w:rsid w:val="008F38CB"/>
    <w:rsid w:val="008F3A56"/>
    <w:rsid w:val="008F4675"/>
    <w:rsid w:val="008F50FE"/>
    <w:rsid w:val="008F69CD"/>
    <w:rsid w:val="00901E60"/>
    <w:rsid w:val="00904A66"/>
    <w:rsid w:val="00905029"/>
    <w:rsid w:val="00921A3A"/>
    <w:rsid w:val="0092287F"/>
    <w:rsid w:val="0092495B"/>
    <w:rsid w:val="0092660E"/>
    <w:rsid w:val="00926E4C"/>
    <w:rsid w:val="00936519"/>
    <w:rsid w:val="00941DA3"/>
    <w:rsid w:val="00942C0C"/>
    <w:rsid w:val="00951711"/>
    <w:rsid w:val="009539E3"/>
    <w:rsid w:val="00954A5E"/>
    <w:rsid w:val="009551B2"/>
    <w:rsid w:val="0096022C"/>
    <w:rsid w:val="00964625"/>
    <w:rsid w:val="00965AF8"/>
    <w:rsid w:val="009677DE"/>
    <w:rsid w:val="009710F9"/>
    <w:rsid w:val="00980937"/>
    <w:rsid w:val="00981C1D"/>
    <w:rsid w:val="00985A54"/>
    <w:rsid w:val="0099109C"/>
    <w:rsid w:val="009936DB"/>
    <w:rsid w:val="00993CFC"/>
    <w:rsid w:val="00994B64"/>
    <w:rsid w:val="009A1147"/>
    <w:rsid w:val="009A1DC2"/>
    <w:rsid w:val="009A2D0F"/>
    <w:rsid w:val="009A5EEA"/>
    <w:rsid w:val="009B0906"/>
    <w:rsid w:val="009B38F2"/>
    <w:rsid w:val="009B7433"/>
    <w:rsid w:val="009C0914"/>
    <w:rsid w:val="009C27E5"/>
    <w:rsid w:val="009D046A"/>
    <w:rsid w:val="009D24A1"/>
    <w:rsid w:val="009D3891"/>
    <w:rsid w:val="009D71E8"/>
    <w:rsid w:val="009E0262"/>
    <w:rsid w:val="009E104B"/>
    <w:rsid w:val="009E7DE4"/>
    <w:rsid w:val="009F3BBD"/>
    <w:rsid w:val="00A022AB"/>
    <w:rsid w:val="00A063DD"/>
    <w:rsid w:val="00A077FE"/>
    <w:rsid w:val="00A112B5"/>
    <w:rsid w:val="00A12B6F"/>
    <w:rsid w:val="00A14EEA"/>
    <w:rsid w:val="00A33636"/>
    <w:rsid w:val="00A44FBB"/>
    <w:rsid w:val="00A50104"/>
    <w:rsid w:val="00A522E0"/>
    <w:rsid w:val="00A52823"/>
    <w:rsid w:val="00A63579"/>
    <w:rsid w:val="00A638AC"/>
    <w:rsid w:val="00A64475"/>
    <w:rsid w:val="00A727E5"/>
    <w:rsid w:val="00A748B5"/>
    <w:rsid w:val="00A80A32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C09C6"/>
    <w:rsid w:val="00AC473F"/>
    <w:rsid w:val="00AD7B5A"/>
    <w:rsid w:val="00AE229F"/>
    <w:rsid w:val="00AE4C57"/>
    <w:rsid w:val="00AE67EF"/>
    <w:rsid w:val="00AF5E20"/>
    <w:rsid w:val="00B002FA"/>
    <w:rsid w:val="00B00327"/>
    <w:rsid w:val="00B024B3"/>
    <w:rsid w:val="00B11DE8"/>
    <w:rsid w:val="00B179ED"/>
    <w:rsid w:val="00B20E18"/>
    <w:rsid w:val="00B24F04"/>
    <w:rsid w:val="00B331E1"/>
    <w:rsid w:val="00B370CB"/>
    <w:rsid w:val="00B40D65"/>
    <w:rsid w:val="00B572C4"/>
    <w:rsid w:val="00B60858"/>
    <w:rsid w:val="00B74D4E"/>
    <w:rsid w:val="00B80219"/>
    <w:rsid w:val="00B87184"/>
    <w:rsid w:val="00B91453"/>
    <w:rsid w:val="00BA19A5"/>
    <w:rsid w:val="00BB491A"/>
    <w:rsid w:val="00BB5121"/>
    <w:rsid w:val="00BC078B"/>
    <w:rsid w:val="00BC3A7D"/>
    <w:rsid w:val="00BC67F6"/>
    <w:rsid w:val="00BC690A"/>
    <w:rsid w:val="00BD2004"/>
    <w:rsid w:val="00BD4B12"/>
    <w:rsid w:val="00BD700D"/>
    <w:rsid w:val="00BE126E"/>
    <w:rsid w:val="00BE2F92"/>
    <w:rsid w:val="00BE44AC"/>
    <w:rsid w:val="00BF0D5F"/>
    <w:rsid w:val="00BF59B3"/>
    <w:rsid w:val="00BF6F95"/>
    <w:rsid w:val="00C10BCF"/>
    <w:rsid w:val="00C11EB4"/>
    <w:rsid w:val="00C12746"/>
    <w:rsid w:val="00C23C11"/>
    <w:rsid w:val="00C25827"/>
    <w:rsid w:val="00C25D71"/>
    <w:rsid w:val="00C31BB8"/>
    <w:rsid w:val="00C373EA"/>
    <w:rsid w:val="00C43CA3"/>
    <w:rsid w:val="00C43D9D"/>
    <w:rsid w:val="00C43EA4"/>
    <w:rsid w:val="00C50040"/>
    <w:rsid w:val="00C50471"/>
    <w:rsid w:val="00C52DFF"/>
    <w:rsid w:val="00C621C1"/>
    <w:rsid w:val="00C62989"/>
    <w:rsid w:val="00C65CBB"/>
    <w:rsid w:val="00C74684"/>
    <w:rsid w:val="00C77FEF"/>
    <w:rsid w:val="00C80F37"/>
    <w:rsid w:val="00C83659"/>
    <w:rsid w:val="00C97A7F"/>
    <w:rsid w:val="00CA4421"/>
    <w:rsid w:val="00CA4896"/>
    <w:rsid w:val="00CA5363"/>
    <w:rsid w:val="00CA7D07"/>
    <w:rsid w:val="00CB24A4"/>
    <w:rsid w:val="00CB53CB"/>
    <w:rsid w:val="00CB5B17"/>
    <w:rsid w:val="00CC4443"/>
    <w:rsid w:val="00CC5823"/>
    <w:rsid w:val="00CC5CAF"/>
    <w:rsid w:val="00CC6A05"/>
    <w:rsid w:val="00D049D1"/>
    <w:rsid w:val="00D06874"/>
    <w:rsid w:val="00D07530"/>
    <w:rsid w:val="00D173F7"/>
    <w:rsid w:val="00D20203"/>
    <w:rsid w:val="00D204E0"/>
    <w:rsid w:val="00D21354"/>
    <w:rsid w:val="00D22400"/>
    <w:rsid w:val="00D23F4A"/>
    <w:rsid w:val="00D264E2"/>
    <w:rsid w:val="00D278BA"/>
    <w:rsid w:val="00D30404"/>
    <w:rsid w:val="00D33F9A"/>
    <w:rsid w:val="00D33FE5"/>
    <w:rsid w:val="00D348C0"/>
    <w:rsid w:val="00D3578A"/>
    <w:rsid w:val="00D438B7"/>
    <w:rsid w:val="00D43A15"/>
    <w:rsid w:val="00D4463C"/>
    <w:rsid w:val="00D501EE"/>
    <w:rsid w:val="00D517DC"/>
    <w:rsid w:val="00D5360D"/>
    <w:rsid w:val="00D5590D"/>
    <w:rsid w:val="00D60011"/>
    <w:rsid w:val="00D618E4"/>
    <w:rsid w:val="00D61DA5"/>
    <w:rsid w:val="00D642A3"/>
    <w:rsid w:val="00D66AF5"/>
    <w:rsid w:val="00D71B8A"/>
    <w:rsid w:val="00D71EBD"/>
    <w:rsid w:val="00D72C08"/>
    <w:rsid w:val="00D765EB"/>
    <w:rsid w:val="00D812C6"/>
    <w:rsid w:val="00D81325"/>
    <w:rsid w:val="00D86448"/>
    <w:rsid w:val="00D875ED"/>
    <w:rsid w:val="00D877D0"/>
    <w:rsid w:val="00D90013"/>
    <w:rsid w:val="00D91B9C"/>
    <w:rsid w:val="00D92C1B"/>
    <w:rsid w:val="00D94CC7"/>
    <w:rsid w:val="00D97756"/>
    <w:rsid w:val="00DA1AF4"/>
    <w:rsid w:val="00DB0C60"/>
    <w:rsid w:val="00DC641A"/>
    <w:rsid w:val="00DD1310"/>
    <w:rsid w:val="00DD21A1"/>
    <w:rsid w:val="00DD6B7D"/>
    <w:rsid w:val="00DD6E14"/>
    <w:rsid w:val="00DE15AC"/>
    <w:rsid w:val="00DE4346"/>
    <w:rsid w:val="00DE4554"/>
    <w:rsid w:val="00DF2015"/>
    <w:rsid w:val="00DF6CCE"/>
    <w:rsid w:val="00E03418"/>
    <w:rsid w:val="00E061EC"/>
    <w:rsid w:val="00E10E81"/>
    <w:rsid w:val="00E13E51"/>
    <w:rsid w:val="00E21F56"/>
    <w:rsid w:val="00E3014F"/>
    <w:rsid w:val="00E4286E"/>
    <w:rsid w:val="00E43EAD"/>
    <w:rsid w:val="00E62DCB"/>
    <w:rsid w:val="00E63B48"/>
    <w:rsid w:val="00E651DD"/>
    <w:rsid w:val="00E66558"/>
    <w:rsid w:val="00E70D81"/>
    <w:rsid w:val="00E726A6"/>
    <w:rsid w:val="00E73418"/>
    <w:rsid w:val="00E76FAA"/>
    <w:rsid w:val="00E8109E"/>
    <w:rsid w:val="00E86F05"/>
    <w:rsid w:val="00EA3A2A"/>
    <w:rsid w:val="00EA7B71"/>
    <w:rsid w:val="00EB4556"/>
    <w:rsid w:val="00EB64C8"/>
    <w:rsid w:val="00ED4136"/>
    <w:rsid w:val="00ED5108"/>
    <w:rsid w:val="00ED6AE8"/>
    <w:rsid w:val="00EE2CB2"/>
    <w:rsid w:val="00EE7448"/>
    <w:rsid w:val="00EF46FB"/>
    <w:rsid w:val="00EF502D"/>
    <w:rsid w:val="00F012CA"/>
    <w:rsid w:val="00F01752"/>
    <w:rsid w:val="00F017D2"/>
    <w:rsid w:val="00F0355A"/>
    <w:rsid w:val="00F03BB1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41D7F"/>
    <w:rsid w:val="00F62587"/>
    <w:rsid w:val="00F631A6"/>
    <w:rsid w:val="00F63E9E"/>
    <w:rsid w:val="00F66AA7"/>
    <w:rsid w:val="00F67133"/>
    <w:rsid w:val="00F71B94"/>
    <w:rsid w:val="00F75603"/>
    <w:rsid w:val="00F76843"/>
    <w:rsid w:val="00F776E1"/>
    <w:rsid w:val="00F81FED"/>
    <w:rsid w:val="00F857BD"/>
    <w:rsid w:val="00F925EB"/>
    <w:rsid w:val="00F97033"/>
    <w:rsid w:val="00F97254"/>
    <w:rsid w:val="00FA6DD0"/>
    <w:rsid w:val="00FC28DF"/>
    <w:rsid w:val="00FC4310"/>
    <w:rsid w:val="00FD2297"/>
    <w:rsid w:val="00FD4EDF"/>
    <w:rsid w:val="00FD6AC6"/>
    <w:rsid w:val="00FE0AE1"/>
    <w:rsid w:val="00FE3136"/>
    <w:rsid w:val="00FE50A3"/>
    <w:rsid w:val="00FE5204"/>
    <w:rsid w:val="00FE604C"/>
    <w:rsid w:val="00FE6523"/>
    <w:rsid w:val="00FF369D"/>
    <w:rsid w:val="00FF3CEF"/>
    <w:rsid w:val="00FF5305"/>
    <w:rsid w:val="00FF6FB0"/>
    <w:rsid w:val="00FF79A8"/>
    <w:rsid w:val="02DD2448"/>
    <w:rsid w:val="02FC66C5"/>
    <w:rsid w:val="05B6D577"/>
    <w:rsid w:val="069AA0E3"/>
    <w:rsid w:val="07FFD3D3"/>
    <w:rsid w:val="0B240EAF"/>
    <w:rsid w:val="0CA2A299"/>
    <w:rsid w:val="0E3EE954"/>
    <w:rsid w:val="0EA5291E"/>
    <w:rsid w:val="13173609"/>
    <w:rsid w:val="13B1E727"/>
    <w:rsid w:val="19B3B174"/>
    <w:rsid w:val="1A172959"/>
    <w:rsid w:val="1CBF4D92"/>
    <w:rsid w:val="216606C4"/>
    <w:rsid w:val="2497129E"/>
    <w:rsid w:val="2814A853"/>
    <w:rsid w:val="2860AB8E"/>
    <w:rsid w:val="2AA2062B"/>
    <w:rsid w:val="2D1F25A3"/>
    <w:rsid w:val="2FFB967E"/>
    <w:rsid w:val="30E72285"/>
    <w:rsid w:val="31066698"/>
    <w:rsid w:val="31CC4DD9"/>
    <w:rsid w:val="35F62F82"/>
    <w:rsid w:val="368F3374"/>
    <w:rsid w:val="380BAE89"/>
    <w:rsid w:val="39078906"/>
    <w:rsid w:val="39369689"/>
    <w:rsid w:val="393A860B"/>
    <w:rsid w:val="3A3F1ACF"/>
    <w:rsid w:val="3BE13FA2"/>
    <w:rsid w:val="3C44896B"/>
    <w:rsid w:val="3DE2E372"/>
    <w:rsid w:val="3EA4202B"/>
    <w:rsid w:val="418407A1"/>
    <w:rsid w:val="45C832DF"/>
    <w:rsid w:val="47D0CE79"/>
    <w:rsid w:val="491E3A64"/>
    <w:rsid w:val="4BF69EA0"/>
    <w:rsid w:val="50D4DFEA"/>
    <w:rsid w:val="52B31683"/>
    <w:rsid w:val="56DCEBF0"/>
    <w:rsid w:val="5726C435"/>
    <w:rsid w:val="57CD369E"/>
    <w:rsid w:val="5B540DDA"/>
    <w:rsid w:val="5C14C4A0"/>
    <w:rsid w:val="5C40C457"/>
    <w:rsid w:val="5F3A7B6B"/>
    <w:rsid w:val="617B4808"/>
    <w:rsid w:val="625D1A15"/>
    <w:rsid w:val="62AE0022"/>
    <w:rsid w:val="6458CCB2"/>
    <w:rsid w:val="6554AA78"/>
    <w:rsid w:val="67DA624C"/>
    <w:rsid w:val="6C24E687"/>
    <w:rsid w:val="6D28B1AF"/>
    <w:rsid w:val="6D616F43"/>
    <w:rsid w:val="6E6ED26F"/>
    <w:rsid w:val="6EB73EE5"/>
    <w:rsid w:val="6ECE037B"/>
    <w:rsid w:val="704228AA"/>
    <w:rsid w:val="760BF405"/>
    <w:rsid w:val="7707170F"/>
    <w:rsid w:val="780DEED4"/>
    <w:rsid w:val="78371332"/>
    <w:rsid w:val="7C19375E"/>
    <w:rsid w:val="7DD7AF5A"/>
    <w:rsid w:val="7E1CA541"/>
    <w:rsid w:val="7FD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950A6D4C-EF01-4A90-8FBD-8C15D176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cationendowmentfoundation.org.uk/education-evidence/teaching-learning-toolkit/phonics" TargetMode="External"/><Relationship Id="rId18" Type="http://schemas.openxmlformats.org/officeDocument/2006/relationships/hyperlink" Target="https://educationendowmentfoundation.org.uk/early-years?gad_source=1&amp;gad_campaignid=23196672470&amp;gbraid=0AAAAABdbs8mglcU3lA0mzszuLidR_k7Vm&amp;gclid=CjwKCAiA8bvIBhBJEiwAu5ayrMRtvBZaLhx_--TSVhJOjSNIVHwl0mk32VqEpKZNQEtizfZKVAVGixoC1oEQAvD_Bw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ucationendowmentfoundation.org.uk/education-evidence/teaching-learning-toolkit/social-and-emotional-learn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devon.gov.uk/support-schools-settings/ordinarily-available-inclusive-provision/" TargetMode="External"/><Relationship Id="rId17" Type="http://schemas.openxmlformats.org/officeDocument/2006/relationships/hyperlink" Target="https://educationendowmentfoundation.org.uk/education-evidence/leadership-and-planning/supporting-attendan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endowmentfoundation.org.uk/education-evidence/teaching-learning-toolkit/teaching-assistant-interventions" TargetMode="External"/><Relationship Id="rId20" Type="http://schemas.openxmlformats.org/officeDocument/2006/relationships/hyperlink" Target="https://educationendowmentfoundation.org.uk/support-for-schools/school-planning-support/3-wider-strateg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endowmentfoundation.org.uk/news/eef-blog-the-five-a-day-approach-how-the-eef-can-suppor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ducationendowmentfoundation.org.uk/education-evidence/early-years-toolkit/communication-and-language-approache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gov.uk/government/publications/strong-foundations-in-the-first-years-of-sch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endowmentfoundation.org.uk/news/taking-a-tailored-approach-to-improving-attendanc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81ABDD54BF7429CE5789E3229BC15" ma:contentTypeVersion="18" ma:contentTypeDescription="Create a new document." ma:contentTypeScope="" ma:versionID="ae6bce34740ac8932ad1aa10566015e0">
  <xsd:schema xmlns:xsd="http://www.w3.org/2001/XMLSchema" xmlns:xs="http://www.w3.org/2001/XMLSchema" xmlns:p="http://schemas.microsoft.com/office/2006/metadata/properties" xmlns:ns2="b4148532-73e0-4e78-9bcf-7c790fcfa8b5" xmlns:ns3="db80e254-1dd3-4260-8057-5e77e6739162" targetNamespace="http://schemas.microsoft.com/office/2006/metadata/properties" ma:root="true" ma:fieldsID="0647ea9abd4131d0e339d5d5492e5881" ns2:_="" ns3:_="">
    <xsd:import namespace="b4148532-73e0-4e78-9bcf-7c790fcfa8b5"/>
    <xsd:import namespace="db80e254-1dd3-4260-8057-5e77e6739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8532-73e0-4e78-9bcf-7c790fcfa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0e254-1dd3-4260-8057-5e77e6739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6bece7-5983-4da2-b5f2-227faaa0a08c}" ma:internalName="TaxCatchAll" ma:showField="CatchAllData" ma:web="db80e254-1dd3-4260-8057-5e77e6739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0e254-1dd3-4260-8057-5e77e6739162" xsi:nil="true"/>
    <lcf76f155ced4ddcb4097134ff3c332f xmlns="b4148532-73e0-4e78-9bcf-7c790fcfa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A6B05-F2F5-4250-B529-602D804C9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0CC5C-9F01-4456-89C2-48DB62A2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8532-73e0-4e78-9bcf-7c790fcfa8b5"/>
    <ds:schemaRef ds:uri="db80e254-1dd3-4260-8057-5e77e6739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8A287-BC84-4196-A56B-089753E87B33}">
  <ds:schemaRefs>
    <ds:schemaRef ds:uri="http://schemas.microsoft.com/office/2006/metadata/properties"/>
    <ds:schemaRef ds:uri="http://schemas.microsoft.com/office/infopath/2007/PartnerControls"/>
    <ds:schemaRef ds:uri="db80e254-1dd3-4260-8057-5e77e6739162"/>
    <ds:schemaRef ds:uri="b4148532-73e0-4e78-9bcf-7c790fcfa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2707</Words>
  <Characters>15434</Characters>
  <Application>Microsoft Office Word</Application>
  <DocSecurity>0</DocSecurity>
  <Lines>128</Lines>
  <Paragraphs>36</Paragraphs>
  <ScaleCrop>false</ScaleCrop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Peter Halford</cp:lastModifiedBy>
  <cp:revision>22</cp:revision>
  <cp:lastPrinted>2014-09-18T05:26:00Z</cp:lastPrinted>
  <dcterms:created xsi:type="dcterms:W3CDTF">2025-12-01T14:28:00Z</dcterms:created>
  <dcterms:modified xsi:type="dcterms:W3CDTF">2025-12-01T14:42:00Z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0x01010047881ABDD54BF7429CE5789E3229BC15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